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9D" w:rsidRPr="004C099D" w:rsidRDefault="004C099D" w:rsidP="004C099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7A4D57">
        <w:rPr>
          <w:rFonts w:ascii="Times New Roman" w:hAnsi="Times New Roman" w:cs="Times New Roman"/>
          <w:b/>
          <w:sz w:val="28"/>
          <w:szCs w:val="28"/>
        </w:rPr>
        <w:t>Health, Education</w:t>
      </w:r>
      <w:r w:rsidR="00B37EBF">
        <w:rPr>
          <w:rFonts w:ascii="Times New Roman" w:hAnsi="Times New Roman" w:cs="Times New Roman"/>
          <w:b/>
          <w:sz w:val="28"/>
          <w:szCs w:val="28"/>
        </w:rPr>
        <w:t>,</w:t>
      </w:r>
      <w:r w:rsidR="007A4D57">
        <w:rPr>
          <w:rFonts w:ascii="Times New Roman" w:hAnsi="Times New Roman" w:cs="Times New Roman"/>
          <w:b/>
          <w:sz w:val="28"/>
          <w:szCs w:val="28"/>
        </w:rPr>
        <w:t xml:space="preserve"> and Labor Issues</w:t>
      </w:r>
    </w:p>
    <w:p w:rsidR="004C099D" w:rsidRDefault="004C099D" w:rsidP="004C099D">
      <w:pPr>
        <w:jc w:val="center"/>
        <w:rPr>
          <w:rFonts w:ascii="Times New Roman" w:hAnsi="Times New Roman" w:cs="Times New Roman"/>
          <w:b/>
          <w:sz w:val="24"/>
          <w:szCs w:val="24"/>
        </w:rPr>
      </w:pPr>
      <w:r>
        <w:rPr>
          <w:rFonts w:ascii="Times New Roman" w:hAnsi="Times New Roman" w:cs="Times New Roman"/>
          <w:b/>
          <w:sz w:val="28"/>
          <w:szCs w:val="28"/>
        </w:rPr>
        <w:t xml:space="preserve">                                                </w:t>
      </w:r>
      <w:r w:rsidRPr="004C099D">
        <w:rPr>
          <w:rFonts w:ascii="Times New Roman" w:hAnsi="Times New Roman" w:cs="Times New Roman"/>
          <w:b/>
          <w:sz w:val="24"/>
          <w:szCs w:val="24"/>
        </w:rPr>
        <w:t xml:space="preserve">Prepared by </w:t>
      </w:r>
      <w:r>
        <w:rPr>
          <w:rFonts w:ascii="Times New Roman" w:hAnsi="Times New Roman" w:cs="Times New Roman"/>
          <w:b/>
          <w:sz w:val="24"/>
          <w:szCs w:val="24"/>
        </w:rPr>
        <w:t xml:space="preserve">the </w:t>
      </w:r>
      <w:r w:rsidRPr="004C099D">
        <w:rPr>
          <w:rFonts w:ascii="Times New Roman" w:hAnsi="Times New Roman" w:cs="Times New Roman"/>
          <w:b/>
          <w:sz w:val="24"/>
          <w:szCs w:val="24"/>
        </w:rPr>
        <w:t>Democratic Staff of the HELP Committee</w:t>
      </w:r>
    </w:p>
    <w:p w:rsidR="004C099D" w:rsidRDefault="004C099D" w:rsidP="004C099D">
      <w:pPr>
        <w:ind w:left="4320" w:firstLine="720"/>
        <w:rPr>
          <w:rFonts w:ascii="Times New Roman" w:hAnsi="Times New Roman" w:cs="Times New Roman"/>
          <w:b/>
          <w:sz w:val="24"/>
          <w:szCs w:val="24"/>
        </w:rPr>
      </w:pPr>
      <w:r>
        <w:rPr>
          <w:rFonts w:ascii="Times New Roman" w:hAnsi="Times New Roman" w:cs="Times New Roman"/>
          <w:b/>
          <w:sz w:val="24"/>
          <w:szCs w:val="24"/>
        </w:rPr>
        <w:t xml:space="preserve">      March 25, 2020</w:t>
      </w:r>
    </w:p>
    <w:p w:rsidR="004C099D" w:rsidRPr="004C099D" w:rsidRDefault="004C099D" w:rsidP="004C099D">
      <w:pPr>
        <w:ind w:left="4320" w:firstLine="720"/>
        <w:rPr>
          <w:rFonts w:ascii="Times New Roman" w:hAnsi="Times New Roman" w:cs="Times New Roman"/>
          <w:b/>
          <w:sz w:val="24"/>
          <w:szCs w:val="24"/>
        </w:rPr>
      </w:pPr>
    </w:p>
    <w:tbl>
      <w:tblPr>
        <w:tblStyle w:val="TableGrid"/>
        <w:tblW w:w="13608" w:type="dxa"/>
        <w:tblInd w:w="-113" w:type="dxa"/>
        <w:tblLook w:val="04A0" w:firstRow="1" w:lastRow="0" w:firstColumn="1" w:lastColumn="0" w:noHBand="0" w:noVBand="1"/>
      </w:tblPr>
      <w:tblGrid>
        <w:gridCol w:w="2178"/>
        <w:gridCol w:w="11430"/>
      </w:tblGrid>
      <w:tr w:rsidR="009627B6" w:rsidRPr="002A3DF8" w:rsidTr="009627B6">
        <w:tc>
          <w:tcPr>
            <w:tcW w:w="13608" w:type="dxa"/>
            <w:gridSpan w:val="2"/>
            <w:shd w:val="clear" w:color="auto" w:fill="9CC2E5" w:themeFill="accent1" w:themeFillTint="99"/>
          </w:tcPr>
          <w:p w:rsidR="004C099D" w:rsidRDefault="009627B6" w:rsidP="00F55FBF">
            <w:pPr>
              <w:ind w:left="360"/>
              <w:contextualSpacing/>
              <w:jc w:val="center"/>
            </w:pPr>
            <w:r>
              <w:br w:type="page"/>
            </w:r>
          </w:p>
          <w:p w:rsidR="009627B6" w:rsidRPr="00B37EBF" w:rsidRDefault="009627B6" w:rsidP="00F55FBF">
            <w:pPr>
              <w:ind w:left="360"/>
              <w:contextualSpacing/>
              <w:jc w:val="center"/>
              <w:rPr>
                <w:rFonts w:ascii="Times New Roman" w:hAnsi="Times New Roman" w:cs="Times New Roman"/>
                <w:b/>
                <w:sz w:val="28"/>
                <w:szCs w:val="28"/>
              </w:rPr>
            </w:pPr>
            <w:r w:rsidRPr="00B37EBF">
              <w:rPr>
                <w:rFonts w:ascii="Times New Roman" w:hAnsi="Times New Roman" w:cs="Times New Roman"/>
                <w:b/>
                <w:sz w:val="28"/>
                <w:szCs w:val="28"/>
              </w:rPr>
              <w:t>HEALTH PROVISIONS</w:t>
            </w:r>
          </w:p>
        </w:tc>
      </w:tr>
      <w:tr w:rsidR="009627B6" w:rsidRPr="002A3DF8" w:rsidTr="009627B6">
        <w:tc>
          <w:tcPr>
            <w:tcW w:w="13608" w:type="dxa"/>
            <w:gridSpan w:val="2"/>
            <w:shd w:val="clear" w:color="auto" w:fill="5B9BD5" w:themeFill="accent1"/>
          </w:tcPr>
          <w:p w:rsidR="009627B6" w:rsidRDefault="009627B6" w:rsidP="00B24F11">
            <w:pPr>
              <w:ind w:left="360"/>
              <w:contextualSpacing/>
              <w:jc w:val="center"/>
              <w:rPr>
                <w:rFonts w:ascii="Times New Roman" w:hAnsi="Times New Roman" w:cs="Times New Roman"/>
                <w:sz w:val="28"/>
                <w:szCs w:val="28"/>
              </w:rPr>
            </w:pPr>
            <w:r>
              <w:rPr>
                <w:rFonts w:ascii="Times New Roman" w:hAnsi="Times New Roman" w:cs="Times New Roman"/>
                <w:sz w:val="28"/>
                <w:szCs w:val="28"/>
              </w:rPr>
              <w:t>ADDRESSING SUPPLY SHORTAGES</w:t>
            </w:r>
          </w:p>
        </w:tc>
      </w:tr>
      <w:tr w:rsidR="009627B6" w:rsidRPr="003A31D1" w:rsidTr="009627B6">
        <w:tc>
          <w:tcPr>
            <w:tcW w:w="2178" w:type="dxa"/>
            <w:shd w:val="clear" w:color="auto" w:fill="DEEAF6" w:themeFill="accent1" w:themeFillTint="33"/>
          </w:tcPr>
          <w:p w:rsidR="009627B6" w:rsidRPr="003A31D1" w:rsidRDefault="009627B6" w:rsidP="00B24F11">
            <w:pPr>
              <w:contextualSpacing/>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 xml:space="preserve">101. National Academies report on America’s medical product supply chain security. </w:t>
            </w:r>
          </w:p>
        </w:tc>
        <w:tc>
          <w:tcPr>
            <w:tcW w:w="11430" w:type="dxa"/>
            <w:shd w:val="clear" w:color="auto" w:fill="DEEAF6" w:themeFill="accent1" w:themeFillTint="33"/>
          </w:tcPr>
          <w:p w:rsidR="009627B6" w:rsidRPr="003A31D1" w:rsidRDefault="009627B6" w:rsidP="003A31D1">
            <w:pPr>
              <w:pStyle w:val="ListParagraph"/>
              <w:numPr>
                <w:ilvl w:val="0"/>
                <w:numId w:val="5"/>
              </w:numPr>
              <w:spacing w:line="240" w:lineRule="auto"/>
              <w:rPr>
                <w:rFonts w:ascii="Times New Roman" w:hAnsi="Times New Roman" w:cs="Times New Roman"/>
                <w:sz w:val="24"/>
                <w:szCs w:val="24"/>
              </w:rPr>
            </w:pPr>
            <w:r w:rsidRPr="003A31D1">
              <w:rPr>
                <w:rFonts w:ascii="Times New Roman" w:hAnsi="Times New Roman" w:cs="Times New Roman"/>
                <w:sz w:val="24"/>
                <w:szCs w:val="24"/>
              </w:rPr>
              <w:t>Directs the National Academies to study the manufacturing supply chain of drugs and medical devices and provide Congress with recommendations to strengthen the U.S. manufacturing supply chain.</w:t>
            </w:r>
          </w:p>
        </w:tc>
      </w:tr>
      <w:tr w:rsidR="009627B6" w:rsidRPr="003A31D1" w:rsidTr="009627B6">
        <w:tc>
          <w:tcPr>
            <w:tcW w:w="2178" w:type="dxa"/>
            <w:shd w:val="clear" w:color="auto" w:fill="auto"/>
          </w:tcPr>
          <w:p w:rsidR="009627B6" w:rsidRPr="003A31D1" w:rsidRDefault="009627B6" w:rsidP="00B24F11">
            <w:pPr>
              <w:contextualSpacing/>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102. Requiring the strategic national stockpile to include certain types of medical supplies</w:t>
            </w:r>
          </w:p>
          <w:p w:rsidR="009627B6" w:rsidRPr="003A31D1" w:rsidRDefault="009627B6" w:rsidP="00B24F11">
            <w:pPr>
              <w:contextualSpacing/>
              <w:rPr>
                <w:rFonts w:ascii="Times New Roman" w:hAnsi="Times New Roman" w:cs="Times New Roman"/>
                <w:i/>
                <w:sz w:val="24"/>
                <w:szCs w:val="24"/>
              </w:rPr>
            </w:pPr>
          </w:p>
        </w:tc>
        <w:tc>
          <w:tcPr>
            <w:tcW w:w="11430" w:type="dxa"/>
            <w:shd w:val="clear" w:color="auto" w:fill="auto"/>
          </w:tcPr>
          <w:p w:rsidR="009627B6" w:rsidRPr="003A31D1" w:rsidRDefault="007A4D57" w:rsidP="001112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Clarifies </w:t>
            </w:r>
            <w:r w:rsidR="009627B6" w:rsidRPr="003A31D1">
              <w:rPr>
                <w:rFonts w:ascii="Times New Roman" w:hAnsi="Times New Roman" w:cs="Times New Roman"/>
                <w:sz w:val="24"/>
                <w:szCs w:val="24"/>
              </w:rPr>
              <w:t xml:space="preserve">the Strategic National Stockpile can stockpile </w:t>
            </w:r>
            <w:r w:rsidR="00111277">
              <w:rPr>
                <w:rFonts w:ascii="Times New Roman" w:hAnsi="Times New Roman" w:cs="Times New Roman"/>
                <w:sz w:val="24"/>
                <w:szCs w:val="24"/>
              </w:rPr>
              <w:t>personal protective equipment and other medical supplies, including supplies required for testing and the administration of drugs and vaccines.</w:t>
            </w:r>
          </w:p>
        </w:tc>
      </w:tr>
      <w:tr w:rsidR="009627B6" w:rsidRPr="003A31D1" w:rsidTr="009627B6">
        <w:tc>
          <w:tcPr>
            <w:tcW w:w="2178" w:type="dxa"/>
            <w:shd w:val="clear" w:color="auto" w:fill="DEEAF6" w:themeFill="accent1" w:themeFillTint="33"/>
          </w:tcPr>
          <w:p w:rsidR="009627B6" w:rsidRPr="003A31D1" w:rsidRDefault="009627B6" w:rsidP="00B24F11">
            <w:pPr>
              <w:contextualSpacing/>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 xml:space="preserve">103. Treatment of respiratory protective devices as covered countermeasures. </w:t>
            </w:r>
          </w:p>
        </w:tc>
        <w:tc>
          <w:tcPr>
            <w:tcW w:w="11430" w:type="dxa"/>
            <w:shd w:val="clear" w:color="auto" w:fill="DEEAF6" w:themeFill="accent1" w:themeFillTint="33"/>
          </w:tcPr>
          <w:p w:rsidR="009627B6" w:rsidRPr="003A31D1" w:rsidRDefault="009627B6" w:rsidP="003A31D1">
            <w:pPr>
              <w:pStyle w:val="ListParagraph"/>
              <w:numPr>
                <w:ilvl w:val="0"/>
                <w:numId w:val="5"/>
              </w:numPr>
              <w:spacing w:line="240" w:lineRule="auto"/>
              <w:rPr>
                <w:rFonts w:ascii="Times New Roman" w:hAnsi="Times New Roman" w:cs="Times New Roman"/>
                <w:sz w:val="24"/>
                <w:szCs w:val="24"/>
              </w:rPr>
            </w:pPr>
            <w:r w:rsidRPr="003A31D1">
              <w:rPr>
                <w:rFonts w:ascii="Times New Roman" w:hAnsi="Times New Roman" w:cs="Times New Roman"/>
                <w:sz w:val="24"/>
                <w:szCs w:val="24"/>
              </w:rPr>
              <w:t xml:space="preserve">Provides permanent liability protection for manufacturers of </w:t>
            </w:r>
            <w:r w:rsidR="004E69AC">
              <w:rPr>
                <w:rFonts w:ascii="Times New Roman" w:hAnsi="Times New Roman" w:cs="Times New Roman"/>
                <w:sz w:val="24"/>
                <w:szCs w:val="24"/>
              </w:rPr>
              <w:t xml:space="preserve">certain </w:t>
            </w:r>
            <w:r w:rsidRPr="003A31D1">
              <w:rPr>
                <w:rFonts w:ascii="Times New Roman" w:hAnsi="Times New Roman" w:cs="Times New Roman"/>
                <w:sz w:val="24"/>
                <w:szCs w:val="24"/>
              </w:rPr>
              <w:t>personal respiratory protective equipment</w:t>
            </w:r>
            <w:r w:rsidR="004E69AC">
              <w:rPr>
                <w:rFonts w:ascii="Times New Roman" w:hAnsi="Times New Roman" w:cs="Times New Roman"/>
                <w:sz w:val="24"/>
                <w:szCs w:val="24"/>
              </w:rPr>
              <w:t xml:space="preserve"> that have been cleared by NIOSH</w:t>
            </w:r>
            <w:r w:rsidRPr="003A31D1">
              <w:rPr>
                <w:rFonts w:ascii="Times New Roman" w:hAnsi="Times New Roman" w:cs="Times New Roman"/>
                <w:sz w:val="24"/>
                <w:szCs w:val="24"/>
              </w:rPr>
              <w:t>, such as masks and respirators, in the event</w:t>
            </w:r>
            <w:r w:rsidR="00D45E05">
              <w:rPr>
                <w:rFonts w:ascii="Times New Roman" w:hAnsi="Times New Roman" w:cs="Times New Roman"/>
                <w:sz w:val="24"/>
                <w:szCs w:val="24"/>
              </w:rPr>
              <w:t xml:space="preserve"> of a public health emergency.</w:t>
            </w:r>
          </w:p>
        </w:tc>
      </w:tr>
      <w:tr w:rsidR="009627B6" w:rsidRPr="003A31D1" w:rsidTr="009627B6">
        <w:tc>
          <w:tcPr>
            <w:tcW w:w="2178" w:type="dxa"/>
            <w:shd w:val="clear" w:color="auto" w:fill="auto"/>
          </w:tcPr>
          <w:p w:rsidR="009627B6" w:rsidRPr="003A31D1" w:rsidRDefault="009627B6" w:rsidP="00B24F11">
            <w:pPr>
              <w:contextualSpacing/>
              <w:rPr>
                <w:rFonts w:ascii="Times New Roman" w:hAnsi="Times New Roman" w:cs="Times New Roman"/>
                <w:i/>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111. Prioritize reviews of drug applications; incentives.</w:t>
            </w:r>
          </w:p>
        </w:tc>
        <w:tc>
          <w:tcPr>
            <w:tcW w:w="11430" w:type="dxa"/>
            <w:shd w:val="clear" w:color="auto" w:fill="auto"/>
          </w:tcPr>
          <w:p w:rsidR="00354023" w:rsidRDefault="00880183" w:rsidP="003A31D1">
            <w:pPr>
              <w:pStyle w:val="ListParagraph"/>
              <w:numPr>
                <w:ilvl w:val="0"/>
                <w:numId w:val="5"/>
              </w:numPr>
              <w:spacing w:line="240" w:lineRule="auto"/>
              <w:rPr>
                <w:rFonts w:ascii="Times New Roman" w:hAnsi="Times New Roman" w:cs="Times New Roman"/>
                <w:sz w:val="24"/>
                <w:szCs w:val="24"/>
              </w:rPr>
            </w:pPr>
            <w:r w:rsidRPr="003A31D1">
              <w:rPr>
                <w:rFonts w:ascii="Times New Roman" w:hAnsi="Times New Roman" w:cs="Times New Roman"/>
                <w:sz w:val="24"/>
                <w:szCs w:val="24"/>
              </w:rPr>
              <w:t xml:space="preserve">Requires the Food and Drug Administration (FDA) to prioritize </w:t>
            </w:r>
            <w:r>
              <w:rPr>
                <w:rFonts w:ascii="Times New Roman" w:hAnsi="Times New Roman" w:cs="Times New Roman"/>
                <w:sz w:val="24"/>
                <w:szCs w:val="24"/>
              </w:rPr>
              <w:t xml:space="preserve">inspections and </w:t>
            </w:r>
            <w:r w:rsidRPr="003A31D1">
              <w:rPr>
                <w:rFonts w:ascii="Times New Roman" w:hAnsi="Times New Roman" w:cs="Times New Roman"/>
                <w:sz w:val="24"/>
                <w:szCs w:val="24"/>
              </w:rPr>
              <w:t xml:space="preserve">the review of </w:t>
            </w:r>
            <w:r>
              <w:rPr>
                <w:rFonts w:ascii="Times New Roman" w:hAnsi="Times New Roman" w:cs="Times New Roman"/>
                <w:sz w:val="24"/>
                <w:szCs w:val="24"/>
              </w:rPr>
              <w:t xml:space="preserve">supplements to </w:t>
            </w:r>
            <w:r w:rsidRPr="003A31D1">
              <w:rPr>
                <w:rFonts w:ascii="Times New Roman" w:hAnsi="Times New Roman" w:cs="Times New Roman"/>
                <w:sz w:val="24"/>
                <w:szCs w:val="24"/>
              </w:rPr>
              <w:t xml:space="preserve">drug applications </w:t>
            </w:r>
            <w:r>
              <w:rPr>
                <w:rFonts w:ascii="Times New Roman" w:hAnsi="Times New Roman" w:cs="Times New Roman"/>
                <w:sz w:val="24"/>
                <w:szCs w:val="24"/>
              </w:rPr>
              <w:t>that could</w:t>
            </w:r>
            <w:r w:rsidRPr="003A31D1">
              <w:rPr>
                <w:rFonts w:ascii="Times New Roman" w:hAnsi="Times New Roman" w:cs="Times New Roman"/>
                <w:sz w:val="24"/>
                <w:szCs w:val="24"/>
              </w:rPr>
              <w:t xml:space="preserve"> </w:t>
            </w:r>
            <w:r>
              <w:rPr>
                <w:rFonts w:ascii="Times New Roman" w:hAnsi="Times New Roman" w:cs="Times New Roman"/>
                <w:sz w:val="24"/>
                <w:szCs w:val="24"/>
              </w:rPr>
              <w:t xml:space="preserve">help </w:t>
            </w:r>
            <w:r w:rsidRPr="003A31D1">
              <w:rPr>
                <w:rFonts w:ascii="Times New Roman" w:hAnsi="Times New Roman" w:cs="Times New Roman"/>
                <w:sz w:val="24"/>
                <w:szCs w:val="24"/>
              </w:rPr>
              <w:t>prevent or mitigate a drug shortage</w:t>
            </w:r>
            <w:r>
              <w:rPr>
                <w:rFonts w:ascii="Times New Roman" w:hAnsi="Times New Roman" w:cs="Times New Roman"/>
                <w:sz w:val="24"/>
                <w:szCs w:val="24"/>
              </w:rPr>
              <w:t xml:space="preserve">. </w:t>
            </w:r>
          </w:p>
          <w:p w:rsidR="009627B6" w:rsidRPr="003A31D1" w:rsidRDefault="00880183" w:rsidP="0035402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FDA is required under current law to expedite such inspections and review of supplements</w:t>
            </w:r>
            <w:r w:rsidRPr="003A31D1">
              <w:rPr>
                <w:rFonts w:ascii="Times New Roman" w:hAnsi="Times New Roman" w:cs="Times New Roman"/>
                <w:sz w:val="24"/>
                <w:szCs w:val="24"/>
              </w:rPr>
              <w:t>.</w:t>
            </w:r>
          </w:p>
        </w:tc>
      </w:tr>
      <w:tr w:rsidR="009627B6" w:rsidRPr="003A31D1" w:rsidTr="009627B6">
        <w:tc>
          <w:tcPr>
            <w:tcW w:w="2178" w:type="dxa"/>
            <w:shd w:val="clear" w:color="auto" w:fill="DEEAF6" w:themeFill="accent1" w:themeFillTint="33"/>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 xml:space="preserve">112. Additional manufacturer </w:t>
            </w:r>
            <w:r w:rsidRPr="003A31D1">
              <w:rPr>
                <w:rFonts w:ascii="Times New Roman" w:hAnsi="Times New Roman" w:cs="Times New Roman"/>
                <w:sz w:val="24"/>
                <w:szCs w:val="24"/>
              </w:rPr>
              <w:lastRenderedPageBreak/>
              <w:t>reporting requirements in response to drug shortages.</w:t>
            </w:r>
          </w:p>
          <w:p w:rsidR="009627B6" w:rsidRPr="003A31D1" w:rsidRDefault="009627B6" w:rsidP="00B24F11">
            <w:pPr>
              <w:contextualSpacing/>
              <w:rPr>
                <w:rFonts w:ascii="Times New Roman" w:hAnsi="Times New Roman" w:cs="Times New Roman"/>
                <w:i/>
                <w:sz w:val="24"/>
                <w:szCs w:val="24"/>
              </w:rPr>
            </w:pPr>
          </w:p>
        </w:tc>
        <w:tc>
          <w:tcPr>
            <w:tcW w:w="11430" w:type="dxa"/>
            <w:shd w:val="clear" w:color="auto" w:fill="DEEAF6" w:themeFill="accent1" w:themeFillTint="33"/>
          </w:tcPr>
          <w:p w:rsidR="00880183" w:rsidRPr="003A31D1" w:rsidRDefault="00880183" w:rsidP="00880183">
            <w:pPr>
              <w:pStyle w:val="ListParagraph"/>
              <w:numPr>
                <w:ilvl w:val="0"/>
                <w:numId w:val="5"/>
              </w:numPr>
              <w:spacing w:line="240" w:lineRule="auto"/>
              <w:rPr>
                <w:rFonts w:ascii="Times New Roman" w:hAnsi="Times New Roman" w:cs="Times New Roman"/>
                <w:sz w:val="24"/>
                <w:szCs w:val="24"/>
              </w:rPr>
            </w:pPr>
            <w:r w:rsidRPr="003A31D1">
              <w:rPr>
                <w:rFonts w:ascii="Times New Roman" w:hAnsi="Times New Roman" w:cs="Times New Roman"/>
                <w:sz w:val="24"/>
                <w:szCs w:val="24"/>
              </w:rPr>
              <w:lastRenderedPageBreak/>
              <w:t xml:space="preserve">Requires drug manufacturers to submit </w:t>
            </w:r>
            <w:r>
              <w:rPr>
                <w:rFonts w:ascii="Times New Roman" w:hAnsi="Times New Roman" w:cs="Times New Roman"/>
                <w:sz w:val="24"/>
                <w:szCs w:val="24"/>
              </w:rPr>
              <w:t>additional</w:t>
            </w:r>
            <w:r w:rsidRPr="003A31D1">
              <w:rPr>
                <w:rFonts w:ascii="Times New Roman" w:hAnsi="Times New Roman" w:cs="Times New Roman"/>
                <w:sz w:val="24"/>
                <w:szCs w:val="24"/>
              </w:rPr>
              <w:t xml:space="preserve"> information </w:t>
            </w:r>
            <w:r>
              <w:rPr>
                <w:rFonts w:ascii="Times New Roman" w:hAnsi="Times New Roman" w:cs="Times New Roman"/>
                <w:sz w:val="24"/>
                <w:szCs w:val="24"/>
              </w:rPr>
              <w:t>six months prior to the date of</w:t>
            </w:r>
            <w:r w:rsidRPr="003A31D1">
              <w:rPr>
                <w:rFonts w:ascii="Times New Roman" w:hAnsi="Times New Roman" w:cs="Times New Roman"/>
                <w:sz w:val="24"/>
                <w:szCs w:val="24"/>
              </w:rPr>
              <w:t xml:space="preserve"> </w:t>
            </w:r>
            <w:r>
              <w:rPr>
                <w:rFonts w:ascii="Times New Roman" w:hAnsi="Times New Roman" w:cs="Times New Roman"/>
                <w:sz w:val="24"/>
                <w:szCs w:val="24"/>
              </w:rPr>
              <w:t>discontinuance or interruption of manufacture of a drug that is likely to lead to a meaningful disruption in supply</w:t>
            </w:r>
            <w:r w:rsidRPr="003A31D1">
              <w:rPr>
                <w:rFonts w:ascii="Times New Roman" w:hAnsi="Times New Roman" w:cs="Times New Roman"/>
                <w:sz w:val="24"/>
                <w:szCs w:val="24"/>
              </w:rPr>
              <w:t>, including information about active pharmaceutical ingredients.</w:t>
            </w:r>
          </w:p>
          <w:p w:rsidR="00880183" w:rsidRDefault="00880183" w:rsidP="00880183">
            <w:pPr>
              <w:pStyle w:val="ListParagraph"/>
              <w:numPr>
                <w:ilvl w:val="0"/>
                <w:numId w:val="5"/>
              </w:numPr>
              <w:spacing w:line="240" w:lineRule="auto"/>
              <w:rPr>
                <w:rFonts w:ascii="Times New Roman" w:hAnsi="Times New Roman" w:cs="Times New Roman"/>
                <w:sz w:val="24"/>
                <w:szCs w:val="24"/>
              </w:rPr>
            </w:pPr>
            <w:r w:rsidRPr="003A31D1">
              <w:rPr>
                <w:rFonts w:ascii="Times New Roman" w:hAnsi="Times New Roman" w:cs="Times New Roman"/>
                <w:sz w:val="24"/>
                <w:szCs w:val="24"/>
              </w:rPr>
              <w:lastRenderedPageBreak/>
              <w:t xml:space="preserve">Requires manufacturers to maintain </w:t>
            </w:r>
            <w:r>
              <w:rPr>
                <w:rFonts w:ascii="Times New Roman" w:hAnsi="Times New Roman" w:cs="Times New Roman"/>
                <w:sz w:val="24"/>
                <w:szCs w:val="24"/>
              </w:rPr>
              <w:t xml:space="preserve">risk management </w:t>
            </w:r>
            <w:r w:rsidRPr="003A31D1">
              <w:rPr>
                <w:rFonts w:ascii="Times New Roman" w:hAnsi="Times New Roman" w:cs="Times New Roman"/>
                <w:sz w:val="24"/>
                <w:szCs w:val="24"/>
              </w:rPr>
              <w:t xml:space="preserve">plans </w:t>
            </w:r>
            <w:r>
              <w:rPr>
                <w:rFonts w:ascii="Times New Roman" w:hAnsi="Times New Roman" w:cs="Times New Roman"/>
                <w:sz w:val="24"/>
                <w:szCs w:val="24"/>
              </w:rPr>
              <w:t>that identif</w:t>
            </w:r>
            <w:r w:rsidR="00E37A8C">
              <w:rPr>
                <w:rFonts w:ascii="Times New Roman" w:hAnsi="Times New Roman" w:cs="Times New Roman"/>
                <w:sz w:val="24"/>
                <w:szCs w:val="24"/>
              </w:rPr>
              <w:t>y</w:t>
            </w:r>
            <w:r>
              <w:rPr>
                <w:rFonts w:ascii="Times New Roman" w:hAnsi="Times New Roman" w:cs="Times New Roman"/>
                <w:sz w:val="24"/>
                <w:szCs w:val="24"/>
              </w:rPr>
              <w:t xml:space="preserve"> and evaluate risks to the </w:t>
            </w:r>
            <w:r w:rsidR="00E37A8C">
              <w:rPr>
                <w:rFonts w:ascii="Times New Roman" w:hAnsi="Times New Roman" w:cs="Times New Roman"/>
                <w:sz w:val="24"/>
                <w:szCs w:val="24"/>
              </w:rPr>
              <w:t xml:space="preserve">drug </w:t>
            </w:r>
            <w:r>
              <w:rPr>
                <w:rFonts w:ascii="Times New Roman" w:hAnsi="Times New Roman" w:cs="Times New Roman"/>
                <w:sz w:val="24"/>
                <w:szCs w:val="24"/>
              </w:rPr>
              <w:t>supply</w:t>
            </w:r>
            <w:r w:rsidRPr="003A31D1">
              <w:rPr>
                <w:rFonts w:ascii="Times New Roman" w:hAnsi="Times New Roman" w:cs="Times New Roman"/>
                <w:sz w:val="24"/>
                <w:szCs w:val="24"/>
              </w:rPr>
              <w:t>.</w:t>
            </w:r>
          </w:p>
          <w:p w:rsidR="009627B6" w:rsidRPr="003A31D1" w:rsidRDefault="00880183" w:rsidP="00D70933">
            <w:pPr>
              <w:pStyle w:val="ListParagraph"/>
              <w:numPr>
                <w:ilvl w:val="0"/>
                <w:numId w:val="5"/>
              </w:numPr>
              <w:spacing w:line="240" w:lineRule="auto"/>
              <w:rPr>
                <w:rFonts w:ascii="Times New Roman" w:hAnsi="Times New Roman" w:cs="Times New Roman"/>
                <w:sz w:val="24"/>
                <w:szCs w:val="24"/>
              </w:rPr>
            </w:pPr>
            <w:r w:rsidRPr="00D70933">
              <w:rPr>
                <w:rFonts w:ascii="Times New Roman" w:hAnsi="Times New Roman" w:cs="Times New Roman"/>
                <w:sz w:val="24"/>
                <w:szCs w:val="24"/>
              </w:rPr>
              <w:t xml:space="preserve">Requires manufacturers to </w:t>
            </w:r>
            <w:r>
              <w:rPr>
                <w:rFonts w:ascii="Times New Roman" w:hAnsi="Times New Roman" w:cs="Times New Roman"/>
                <w:sz w:val="24"/>
                <w:szCs w:val="24"/>
              </w:rPr>
              <w:t xml:space="preserve">report annually to </w:t>
            </w:r>
            <w:r w:rsidR="00354023">
              <w:rPr>
                <w:rFonts w:ascii="Times New Roman" w:hAnsi="Times New Roman" w:cs="Times New Roman"/>
                <w:sz w:val="24"/>
                <w:szCs w:val="24"/>
              </w:rPr>
              <w:t>the Food and Drug Administration</w:t>
            </w:r>
            <w:r>
              <w:rPr>
                <w:rFonts w:ascii="Times New Roman" w:hAnsi="Times New Roman" w:cs="Times New Roman"/>
                <w:sz w:val="24"/>
                <w:szCs w:val="24"/>
              </w:rPr>
              <w:t xml:space="preserve"> the amount of each drug manufactured at each manufacturing establishment</w:t>
            </w:r>
            <w:r w:rsidRPr="00D70933">
              <w:rPr>
                <w:rFonts w:ascii="Times New Roman" w:hAnsi="Times New Roman" w:cs="Times New Roman"/>
                <w:sz w:val="24"/>
                <w:szCs w:val="24"/>
              </w:rPr>
              <w:t>.</w:t>
            </w:r>
          </w:p>
        </w:tc>
      </w:tr>
      <w:tr w:rsidR="009627B6" w:rsidRPr="003A31D1" w:rsidTr="009627B6">
        <w:tc>
          <w:tcPr>
            <w:tcW w:w="2178" w:type="dxa"/>
            <w:shd w:val="clear" w:color="auto" w:fill="auto"/>
          </w:tcPr>
          <w:p w:rsidR="009627B6"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lastRenderedPageBreak/>
              <w:t>Sec. 3</w:t>
            </w:r>
            <w:r w:rsidRPr="003A31D1">
              <w:rPr>
                <w:rFonts w:ascii="Times New Roman" w:hAnsi="Times New Roman" w:cs="Times New Roman"/>
                <w:sz w:val="24"/>
                <w:szCs w:val="24"/>
              </w:rPr>
              <w:t>121. Discontinuance or interruption in the production of medical devices.</w:t>
            </w:r>
          </w:p>
        </w:tc>
        <w:tc>
          <w:tcPr>
            <w:tcW w:w="11430" w:type="dxa"/>
            <w:shd w:val="clear" w:color="auto" w:fill="auto"/>
          </w:tcPr>
          <w:p w:rsidR="00880183" w:rsidRDefault="00880183" w:rsidP="00880183">
            <w:pPr>
              <w:pStyle w:val="ListParagraph"/>
              <w:numPr>
                <w:ilvl w:val="0"/>
                <w:numId w:val="5"/>
              </w:numPr>
              <w:spacing w:line="240" w:lineRule="auto"/>
              <w:rPr>
                <w:rFonts w:ascii="Times New Roman" w:hAnsi="Times New Roman" w:cs="Times New Roman"/>
                <w:sz w:val="24"/>
                <w:szCs w:val="24"/>
              </w:rPr>
            </w:pPr>
            <w:r w:rsidRPr="003A31D1">
              <w:rPr>
                <w:rFonts w:ascii="Times New Roman" w:hAnsi="Times New Roman" w:cs="Times New Roman"/>
                <w:sz w:val="24"/>
                <w:szCs w:val="24"/>
              </w:rPr>
              <w:t xml:space="preserve">Requires </w:t>
            </w:r>
            <w:r>
              <w:rPr>
                <w:rFonts w:ascii="Times New Roman" w:hAnsi="Times New Roman" w:cs="Times New Roman"/>
                <w:sz w:val="24"/>
                <w:szCs w:val="24"/>
              </w:rPr>
              <w:t>device</w:t>
            </w:r>
            <w:r w:rsidRPr="003A31D1">
              <w:rPr>
                <w:rFonts w:ascii="Times New Roman" w:hAnsi="Times New Roman" w:cs="Times New Roman"/>
                <w:sz w:val="24"/>
                <w:szCs w:val="24"/>
              </w:rPr>
              <w:t xml:space="preserve"> manufacturers to </w:t>
            </w:r>
            <w:r>
              <w:rPr>
                <w:rFonts w:ascii="Times New Roman" w:hAnsi="Times New Roman" w:cs="Times New Roman"/>
                <w:sz w:val="24"/>
                <w:szCs w:val="24"/>
              </w:rPr>
              <w:t xml:space="preserve">notify </w:t>
            </w:r>
            <w:r w:rsidR="00354023">
              <w:rPr>
                <w:rFonts w:ascii="Times New Roman" w:hAnsi="Times New Roman" w:cs="Times New Roman"/>
                <w:sz w:val="24"/>
                <w:szCs w:val="24"/>
              </w:rPr>
              <w:t>the Food and Drug Administration</w:t>
            </w:r>
            <w:r>
              <w:rPr>
                <w:rFonts w:ascii="Times New Roman" w:hAnsi="Times New Roman" w:cs="Times New Roman"/>
                <w:sz w:val="24"/>
                <w:szCs w:val="24"/>
              </w:rPr>
              <w:t>,</w:t>
            </w:r>
            <w:r w:rsidRPr="003A31D1">
              <w:rPr>
                <w:rFonts w:ascii="Times New Roman" w:hAnsi="Times New Roman" w:cs="Times New Roman"/>
                <w:sz w:val="24"/>
                <w:szCs w:val="24"/>
              </w:rPr>
              <w:t xml:space="preserve"> </w:t>
            </w:r>
            <w:r>
              <w:rPr>
                <w:rFonts w:ascii="Times New Roman" w:hAnsi="Times New Roman" w:cs="Times New Roman"/>
                <w:sz w:val="24"/>
                <w:szCs w:val="24"/>
              </w:rPr>
              <w:t>during or in advance of a public health emergency, six months prior to the date of a discontinuance or interruption of manufacture of a drug that is likely to lead to a meaningful disruption in supply</w:t>
            </w:r>
            <w:r w:rsidRPr="003A31D1">
              <w:rPr>
                <w:rFonts w:ascii="Times New Roman" w:hAnsi="Times New Roman" w:cs="Times New Roman"/>
                <w:sz w:val="24"/>
                <w:szCs w:val="24"/>
              </w:rPr>
              <w:t xml:space="preserve">, </w:t>
            </w:r>
            <w:r>
              <w:rPr>
                <w:rFonts w:ascii="Times New Roman" w:hAnsi="Times New Roman" w:cs="Times New Roman"/>
                <w:sz w:val="24"/>
                <w:szCs w:val="24"/>
              </w:rPr>
              <w:t>and the reasons for the discontinuance or interruption</w:t>
            </w:r>
            <w:r w:rsidRPr="003A31D1">
              <w:rPr>
                <w:rFonts w:ascii="Times New Roman" w:hAnsi="Times New Roman" w:cs="Times New Roman"/>
                <w:sz w:val="24"/>
                <w:szCs w:val="24"/>
              </w:rPr>
              <w:t>.</w:t>
            </w:r>
          </w:p>
          <w:p w:rsidR="009627B6" w:rsidRPr="003A31D1" w:rsidRDefault="00880183" w:rsidP="00354023">
            <w:pPr>
              <w:pStyle w:val="ListParagraph"/>
              <w:numPr>
                <w:ilvl w:val="0"/>
                <w:numId w:val="5"/>
              </w:numPr>
              <w:spacing w:line="240" w:lineRule="auto"/>
              <w:rPr>
                <w:rFonts w:ascii="Times New Roman" w:hAnsi="Times New Roman" w:cs="Times New Roman"/>
                <w:sz w:val="24"/>
                <w:szCs w:val="24"/>
              </w:rPr>
            </w:pPr>
            <w:r w:rsidRPr="003A31D1">
              <w:rPr>
                <w:rFonts w:ascii="Times New Roman" w:hAnsi="Times New Roman" w:cs="Times New Roman"/>
                <w:sz w:val="24"/>
                <w:szCs w:val="24"/>
              </w:rPr>
              <w:t xml:space="preserve">Requires the </w:t>
            </w:r>
            <w:r w:rsidR="00354023">
              <w:rPr>
                <w:rFonts w:ascii="Times New Roman" w:hAnsi="Times New Roman" w:cs="Times New Roman"/>
                <w:sz w:val="24"/>
                <w:szCs w:val="24"/>
              </w:rPr>
              <w:t>FDA</w:t>
            </w:r>
            <w:r w:rsidRPr="003A31D1">
              <w:rPr>
                <w:rFonts w:ascii="Times New Roman" w:hAnsi="Times New Roman" w:cs="Times New Roman"/>
                <w:sz w:val="24"/>
                <w:szCs w:val="24"/>
              </w:rPr>
              <w:t xml:space="preserve"> to prioritize</w:t>
            </w:r>
            <w:r>
              <w:rPr>
                <w:rFonts w:ascii="Times New Roman" w:hAnsi="Times New Roman" w:cs="Times New Roman"/>
                <w:sz w:val="24"/>
                <w:szCs w:val="24"/>
              </w:rPr>
              <w:t xml:space="preserve"> and expedite</w:t>
            </w:r>
            <w:r w:rsidRPr="003A31D1">
              <w:rPr>
                <w:rFonts w:ascii="Times New Roman" w:hAnsi="Times New Roman" w:cs="Times New Roman"/>
                <w:sz w:val="24"/>
                <w:szCs w:val="24"/>
              </w:rPr>
              <w:t xml:space="preserve"> </w:t>
            </w:r>
            <w:r>
              <w:rPr>
                <w:rFonts w:ascii="Times New Roman" w:hAnsi="Times New Roman" w:cs="Times New Roman"/>
                <w:sz w:val="24"/>
                <w:szCs w:val="24"/>
              </w:rPr>
              <w:t xml:space="preserve">inspections and </w:t>
            </w:r>
            <w:r w:rsidRPr="003A31D1">
              <w:rPr>
                <w:rFonts w:ascii="Times New Roman" w:hAnsi="Times New Roman" w:cs="Times New Roman"/>
                <w:sz w:val="24"/>
                <w:szCs w:val="24"/>
              </w:rPr>
              <w:t xml:space="preserve">the review of </w:t>
            </w:r>
            <w:r>
              <w:rPr>
                <w:rFonts w:ascii="Times New Roman" w:hAnsi="Times New Roman" w:cs="Times New Roman"/>
                <w:sz w:val="24"/>
                <w:szCs w:val="24"/>
              </w:rPr>
              <w:t>submissions that could</w:t>
            </w:r>
            <w:r w:rsidRPr="003A31D1">
              <w:rPr>
                <w:rFonts w:ascii="Times New Roman" w:hAnsi="Times New Roman" w:cs="Times New Roman"/>
                <w:sz w:val="24"/>
                <w:szCs w:val="24"/>
              </w:rPr>
              <w:t xml:space="preserve"> </w:t>
            </w:r>
            <w:r>
              <w:rPr>
                <w:rFonts w:ascii="Times New Roman" w:hAnsi="Times New Roman" w:cs="Times New Roman"/>
                <w:sz w:val="24"/>
                <w:szCs w:val="24"/>
              </w:rPr>
              <w:t xml:space="preserve">help </w:t>
            </w:r>
            <w:r w:rsidRPr="003A31D1">
              <w:rPr>
                <w:rFonts w:ascii="Times New Roman" w:hAnsi="Times New Roman" w:cs="Times New Roman"/>
                <w:sz w:val="24"/>
                <w:szCs w:val="24"/>
              </w:rPr>
              <w:t>prevent or mitigate a drug shortage</w:t>
            </w:r>
            <w:r>
              <w:rPr>
                <w:rFonts w:ascii="Times New Roman" w:hAnsi="Times New Roman" w:cs="Times New Roman"/>
                <w:sz w:val="24"/>
                <w:szCs w:val="24"/>
              </w:rPr>
              <w:t>.</w:t>
            </w:r>
          </w:p>
        </w:tc>
      </w:tr>
    </w:tbl>
    <w:p w:rsidR="003A31D1" w:rsidRPr="003A31D1" w:rsidRDefault="003A31D1" w:rsidP="003A31D1">
      <w:pPr>
        <w:rPr>
          <w:rFonts w:ascii="Times New Roman" w:hAnsi="Times New Roman" w:cs="Times New Roman"/>
          <w:sz w:val="24"/>
          <w:szCs w:val="24"/>
        </w:rPr>
      </w:pPr>
    </w:p>
    <w:tbl>
      <w:tblPr>
        <w:tblStyle w:val="TableGrid"/>
        <w:tblW w:w="13518" w:type="dxa"/>
        <w:tblInd w:w="-113" w:type="dxa"/>
        <w:tblLook w:val="04A0" w:firstRow="1" w:lastRow="0" w:firstColumn="1" w:lastColumn="0" w:noHBand="0" w:noVBand="1"/>
      </w:tblPr>
      <w:tblGrid>
        <w:gridCol w:w="2358"/>
        <w:gridCol w:w="11160"/>
      </w:tblGrid>
      <w:tr w:rsidR="009627B6" w:rsidRPr="003A31D1" w:rsidTr="009627B6">
        <w:tc>
          <w:tcPr>
            <w:tcW w:w="13518" w:type="dxa"/>
            <w:gridSpan w:val="2"/>
            <w:shd w:val="clear" w:color="auto" w:fill="9CC2E5" w:themeFill="accent1" w:themeFillTint="99"/>
          </w:tcPr>
          <w:p w:rsidR="009627B6" w:rsidRPr="003A31D1" w:rsidRDefault="009627B6" w:rsidP="00B24F11">
            <w:pPr>
              <w:ind w:left="360"/>
              <w:contextualSpacing/>
              <w:jc w:val="center"/>
              <w:rPr>
                <w:rFonts w:ascii="Times New Roman" w:hAnsi="Times New Roman" w:cs="Times New Roman"/>
                <w:sz w:val="28"/>
                <w:szCs w:val="28"/>
              </w:rPr>
            </w:pPr>
            <w:r w:rsidRPr="003A31D1">
              <w:rPr>
                <w:rFonts w:ascii="Times New Roman" w:hAnsi="Times New Roman" w:cs="Times New Roman"/>
                <w:sz w:val="28"/>
                <w:szCs w:val="28"/>
              </w:rPr>
              <w:t>ACCESS TO HEALTH</w:t>
            </w:r>
            <w:r>
              <w:rPr>
                <w:rFonts w:ascii="Times New Roman" w:hAnsi="Times New Roman" w:cs="Times New Roman"/>
                <w:sz w:val="28"/>
                <w:szCs w:val="28"/>
              </w:rPr>
              <w:t xml:space="preserve"> </w:t>
            </w:r>
            <w:r w:rsidRPr="003A31D1">
              <w:rPr>
                <w:rFonts w:ascii="Times New Roman" w:hAnsi="Times New Roman" w:cs="Times New Roman"/>
                <w:sz w:val="28"/>
                <w:szCs w:val="28"/>
              </w:rPr>
              <w:t>CARE FOR COVID-19 PATIENTS</w:t>
            </w:r>
          </w:p>
        </w:tc>
      </w:tr>
      <w:tr w:rsidR="009627B6" w:rsidRPr="003A31D1" w:rsidTr="009627B6">
        <w:trPr>
          <w:trHeight w:val="1025"/>
        </w:trPr>
        <w:tc>
          <w:tcPr>
            <w:tcW w:w="2358" w:type="dxa"/>
            <w:shd w:val="clear" w:color="auto" w:fill="DEEAF6" w:themeFill="accent1" w:themeFillTint="33"/>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201. Coverage of diagnostic testing for COVID-19.</w:t>
            </w:r>
          </w:p>
        </w:tc>
        <w:tc>
          <w:tcPr>
            <w:tcW w:w="11160" w:type="dxa"/>
            <w:shd w:val="clear" w:color="auto" w:fill="DEEAF6" w:themeFill="accent1" w:themeFillTint="33"/>
          </w:tcPr>
          <w:p w:rsidR="009627B6" w:rsidRPr="003A31D1" w:rsidRDefault="00083CF4" w:rsidP="000A1A06">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Makes a technical correction to section 6001 of the Families First Coronavirus Act</w:t>
            </w:r>
            <w:r w:rsidRPr="003A31D1">
              <w:rPr>
                <w:rFonts w:ascii="Times New Roman" w:hAnsi="Times New Roman" w:cs="Times New Roman"/>
                <w:sz w:val="24"/>
                <w:szCs w:val="24"/>
              </w:rPr>
              <w:t xml:space="preserve"> </w:t>
            </w:r>
            <w:r w:rsidR="00E37A8C">
              <w:rPr>
                <w:rFonts w:ascii="Times New Roman" w:hAnsi="Times New Roman" w:cs="Times New Roman"/>
                <w:sz w:val="24"/>
                <w:szCs w:val="24"/>
              </w:rPr>
              <w:t xml:space="preserve">which required </w:t>
            </w:r>
            <w:r w:rsidR="009627B6" w:rsidRPr="003A31D1">
              <w:rPr>
                <w:rFonts w:ascii="Times New Roman" w:hAnsi="Times New Roman" w:cs="Times New Roman"/>
                <w:sz w:val="24"/>
                <w:szCs w:val="24"/>
              </w:rPr>
              <w:t xml:space="preserve">testing for COVID-19 to be covered by private insurance plans without cost sharing. </w:t>
            </w:r>
          </w:p>
        </w:tc>
      </w:tr>
      <w:tr w:rsidR="009627B6" w:rsidRPr="003A31D1" w:rsidTr="009627B6">
        <w:trPr>
          <w:trHeight w:val="1070"/>
        </w:trPr>
        <w:tc>
          <w:tcPr>
            <w:tcW w:w="2358" w:type="dxa"/>
            <w:shd w:val="clear" w:color="auto" w:fill="auto"/>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202. Pricing of diagnostic testing.</w:t>
            </w:r>
          </w:p>
          <w:p w:rsidR="009627B6" w:rsidRPr="003A31D1" w:rsidRDefault="009627B6" w:rsidP="00B24F11">
            <w:pPr>
              <w:contextualSpacing/>
              <w:rPr>
                <w:rFonts w:ascii="Times New Roman" w:hAnsi="Times New Roman" w:cs="Times New Roman"/>
                <w:sz w:val="24"/>
                <w:szCs w:val="24"/>
              </w:rPr>
            </w:pPr>
          </w:p>
        </w:tc>
        <w:tc>
          <w:tcPr>
            <w:tcW w:w="11160" w:type="dxa"/>
            <w:shd w:val="clear" w:color="auto" w:fill="auto"/>
          </w:tcPr>
          <w:p w:rsidR="009627B6" w:rsidRPr="003A31D1" w:rsidRDefault="009627B6" w:rsidP="00B24F11">
            <w:pPr>
              <w:numPr>
                <w:ilvl w:val="0"/>
                <w:numId w:val="1"/>
              </w:numPr>
              <w:contextualSpacing/>
              <w:rPr>
                <w:rFonts w:ascii="Times New Roman" w:hAnsi="Times New Roman" w:cs="Times New Roman"/>
                <w:sz w:val="24"/>
                <w:szCs w:val="24"/>
              </w:rPr>
            </w:pPr>
            <w:r w:rsidRPr="003A31D1">
              <w:rPr>
                <w:rFonts w:ascii="Times New Roman" w:hAnsi="Times New Roman" w:cs="Times New Roman"/>
                <w:sz w:val="24"/>
                <w:szCs w:val="24"/>
              </w:rPr>
              <w:t>For COVID-19 testing covered with no cost to patients, requires an insurer to pay either the rate specified in a contract between the provider and the insurer, or, if there is no contract, a cash price posted by the provider.</w:t>
            </w:r>
            <w:r w:rsidR="00083CF4">
              <w:rPr>
                <w:rFonts w:ascii="Times New Roman" w:hAnsi="Times New Roman" w:cs="Times New Roman"/>
                <w:sz w:val="24"/>
                <w:szCs w:val="24"/>
              </w:rPr>
              <w:t xml:space="preserve"> Insurers may negotiate a lower price than the cash price. </w:t>
            </w:r>
          </w:p>
        </w:tc>
      </w:tr>
      <w:tr w:rsidR="009627B6" w:rsidRPr="003A31D1" w:rsidTr="009627B6">
        <w:trPr>
          <w:trHeight w:val="980"/>
        </w:trPr>
        <w:tc>
          <w:tcPr>
            <w:tcW w:w="2358" w:type="dxa"/>
            <w:shd w:val="clear" w:color="auto" w:fill="DEEAF6" w:themeFill="accent1" w:themeFillTint="33"/>
          </w:tcPr>
          <w:p w:rsidR="009627B6" w:rsidRPr="003A31D1" w:rsidRDefault="009627B6" w:rsidP="00B24F11">
            <w:pPr>
              <w:contextualSpacing/>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203. Rapid coverage of preventive services and vaccines for coronavirus.</w:t>
            </w:r>
          </w:p>
        </w:tc>
        <w:tc>
          <w:tcPr>
            <w:tcW w:w="11160" w:type="dxa"/>
            <w:shd w:val="clear" w:color="auto" w:fill="DEEAF6" w:themeFill="accent1" w:themeFillTint="33"/>
          </w:tcPr>
          <w:p w:rsidR="009627B6" w:rsidRPr="003A31D1" w:rsidRDefault="009627B6" w:rsidP="00083CF4">
            <w:pPr>
              <w:pStyle w:val="ListParagraph"/>
              <w:numPr>
                <w:ilvl w:val="0"/>
                <w:numId w:val="1"/>
              </w:numPr>
              <w:rPr>
                <w:rFonts w:ascii="Times New Roman" w:hAnsi="Times New Roman" w:cs="Times New Roman"/>
                <w:sz w:val="24"/>
                <w:szCs w:val="24"/>
              </w:rPr>
            </w:pPr>
            <w:r w:rsidRPr="003A31D1">
              <w:rPr>
                <w:rFonts w:ascii="Times New Roman" w:hAnsi="Times New Roman" w:cs="Times New Roman"/>
                <w:sz w:val="24"/>
                <w:szCs w:val="24"/>
              </w:rPr>
              <w:t xml:space="preserve">Provides free coverage without cost-sharing of a </w:t>
            </w:r>
            <w:r w:rsidR="00083CF4">
              <w:rPr>
                <w:rFonts w:ascii="Times New Roman" w:hAnsi="Times New Roman" w:cs="Times New Roman"/>
                <w:sz w:val="24"/>
                <w:szCs w:val="24"/>
              </w:rPr>
              <w:t xml:space="preserve">preventive service or </w:t>
            </w:r>
            <w:r w:rsidRPr="003A31D1">
              <w:rPr>
                <w:rFonts w:ascii="Times New Roman" w:hAnsi="Times New Roman" w:cs="Times New Roman"/>
                <w:sz w:val="24"/>
                <w:szCs w:val="24"/>
              </w:rPr>
              <w:t xml:space="preserve">vaccine </w:t>
            </w:r>
            <w:r w:rsidR="00083CF4">
              <w:rPr>
                <w:rFonts w:ascii="Times New Roman" w:hAnsi="Times New Roman" w:cs="Times New Roman"/>
                <w:sz w:val="24"/>
                <w:szCs w:val="24"/>
              </w:rPr>
              <w:t xml:space="preserve">related to </w:t>
            </w:r>
            <w:r w:rsidRPr="003A31D1">
              <w:rPr>
                <w:rFonts w:ascii="Times New Roman" w:hAnsi="Times New Roman" w:cs="Times New Roman"/>
                <w:sz w:val="24"/>
                <w:szCs w:val="24"/>
              </w:rPr>
              <w:t xml:space="preserve">COVID-19 </w:t>
            </w:r>
            <w:r w:rsidR="00083CF4">
              <w:rPr>
                <w:rFonts w:ascii="Times New Roman" w:hAnsi="Times New Roman" w:cs="Times New Roman"/>
                <w:sz w:val="24"/>
                <w:szCs w:val="24"/>
              </w:rPr>
              <w:t xml:space="preserve">within 15 days of the preventive service or vaccine receiving a </w:t>
            </w:r>
            <w:r w:rsidRPr="003A31D1">
              <w:rPr>
                <w:rFonts w:ascii="Times New Roman" w:hAnsi="Times New Roman" w:cs="Times New Roman"/>
                <w:sz w:val="24"/>
                <w:szCs w:val="24"/>
              </w:rPr>
              <w:t>rating of “A” or “B”</w:t>
            </w:r>
            <w:r w:rsidR="003B1397">
              <w:rPr>
                <w:rFonts w:ascii="Times New Roman" w:hAnsi="Times New Roman" w:cs="Times New Roman"/>
                <w:sz w:val="24"/>
                <w:szCs w:val="24"/>
              </w:rPr>
              <w:t xml:space="preserve"> </w:t>
            </w:r>
            <w:r w:rsidR="00083CF4">
              <w:rPr>
                <w:rFonts w:ascii="Times New Roman" w:hAnsi="Times New Roman" w:cs="Times New Roman"/>
                <w:sz w:val="24"/>
                <w:szCs w:val="24"/>
              </w:rPr>
              <w:t xml:space="preserve">from </w:t>
            </w:r>
            <w:r w:rsidRPr="003A31D1">
              <w:rPr>
                <w:rFonts w:ascii="Times New Roman" w:hAnsi="Times New Roman" w:cs="Times New Roman"/>
                <w:sz w:val="24"/>
                <w:szCs w:val="24"/>
              </w:rPr>
              <w:t xml:space="preserve">the United States Preventive Services Task Force or a recommendation from the Advisory Committee on Immunization Practices (ACIP). </w:t>
            </w:r>
          </w:p>
        </w:tc>
      </w:tr>
      <w:tr w:rsidR="009627B6" w:rsidRPr="003A31D1" w:rsidTr="009627B6">
        <w:trPr>
          <w:trHeight w:val="1619"/>
        </w:trPr>
        <w:tc>
          <w:tcPr>
            <w:tcW w:w="2358" w:type="dxa"/>
            <w:shd w:val="clear" w:color="auto" w:fill="auto"/>
          </w:tcPr>
          <w:p w:rsidR="009627B6" w:rsidRPr="003A31D1" w:rsidRDefault="009627B6" w:rsidP="00B24F11">
            <w:pPr>
              <w:contextualSpacing/>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211. Supplemental awards for health centers.</w:t>
            </w:r>
          </w:p>
        </w:tc>
        <w:tc>
          <w:tcPr>
            <w:tcW w:w="11160" w:type="dxa"/>
            <w:shd w:val="clear" w:color="auto" w:fill="auto"/>
          </w:tcPr>
          <w:p w:rsidR="009627B6" w:rsidRPr="003A31D1" w:rsidRDefault="009627B6" w:rsidP="00B24F11">
            <w:pPr>
              <w:numPr>
                <w:ilvl w:val="0"/>
                <w:numId w:val="1"/>
              </w:numPr>
              <w:contextualSpacing/>
              <w:rPr>
                <w:rFonts w:ascii="Times New Roman" w:hAnsi="Times New Roman" w:cs="Times New Roman"/>
                <w:sz w:val="24"/>
                <w:szCs w:val="24"/>
              </w:rPr>
            </w:pPr>
            <w:r w:rsidRPr="003A31D1">
              <w:rPr>
                <w:rFonts w:ascii="Times New Roman" w:hAnsi="Times New Roman" w:cs="Times New Roman"/>
                <w:sz w:val="24"/>
                <w:szCs w:val="24"/>
              </w:rPr>
              <w:t xml:space="preserve">Provides $1.32 billion in supplemental funding </w:t>
            </w:r>
            <w:r w:rsidR="00E37A8C">
              <w:rPr>
                <w:rFonts w:ascii="Times New Roman" w:hAnsi="Times New Roman" w:cs="Times New Roman"/>
                <w:sz w:val="24"/>
                <w:szCs w:val="24"/>
              </w:rPr>
              <w:t xml:space="preserve">for FY2020 </w:t>
            </w:r>
            <w:r w:rsidRPr="003A31D1">
              <w:rPr>
                <w:rFonts w:ascii="Times New Roman" w:hAnsi="Times New Roman" w:cs="Times New Roman"/>
                <w:sz w:val="24"/>
                <w:szCs w:val="24"/>
              </w:rPr>
              <w:t xml:space="preserve">to community health centers on the front lines of testing and treating patients for COVID-19. </w:t>
            </w:r>
          </w:p>
        </w:tc>
      </w:tr>
      <w:tr w:rsidR="009627B6" w:rsidRPr="003A31D1" w:rsidTr="009627B6">
        <w:trPr>
          <w:trHeight w:val="1610"/>
        </w:trPr>
        <w:tc>
          <w:tcPr>
            <w:tcW w:w="2358" w:type="dxa"/>
            <w:shd w:val="clear" w:color="auto" w:fill="DEEAF6" w:themeFill="accent1" w:themeFillTint="33"/>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lastRenderedPageBreak/>
              <w:t>Sec. 3</w:t>
            </w:r>
            <w:r w:rsidRPr="003A31D1">
              <w:rPr>
                <w:rFonts w:ascii="Times New Roman" w:hAnsi="Times New Roman" w:cs="Times New Roman"/>
                <w:sz w:val="24"/>
                <w:szCs w:val="24"/>
              </w:rPr>
              <w:t>212. Telehealth network and telehealth resource centers grant programs.</w:t>
            </w:r>
          </w:p>
          <w:p w:rsidR="009627B6" w:rsidRPr="003A31D1" w:rsidRDefault="009627B6" w:rsidP="00B24F11">
            <w:pPr>
              <w:contextualSpacing/>
              <w:rPr>
                <w:rFonts w:ascii="Times New Roman" w:hAnsi="Times New Roman" w:cs="Times New Roman"/>
                <w:sz w:val="24"/>
                <w:szCs w:val="24"/>
              </w:rPr>
            </w:pPr>
          </w:p>
        </w:tc>
        <w:tc>
          <w:tcPr>
            <w:tcW w:w="11160" w:type="dxa"/>
            <w:shd w:val="clear" w:color="auto" w:fill="DEEAF6" w:themeFill="accent1" w:themeFillTint="33"/>
          </w:tcPr>
          <w:p w:rsidR="009627B6" w:rsidRPr="003A31D1" w:rsidRDefault="009627B6" w:rsidP="00B24F11">
            <w:pPr>
              <w:numPr>
                <w:ilvl w:val="0"/>
                <w:numId w:val="1"/>
              </w:numPr>
              <w:contextualSpacing/>
              <w:rPr>
                <w:rFonts w:ascii="Times New Roman" w:hAnsi="Times New Roman" w:cs="Times New Roman"/>
                <w:sz w:val="24"/>
                <w:szCs w:val="24"/>
              </w:rPr>
            </w:pPr>
            <w:r w:rsidRPr="003A31D1">
              <w:rPr>
                <w:rFonts w:ascii="Times New Roman" w:hAnsi="Times New Roman" w:cs="Times New Roman"/>
                <w:sz w:val="24"/>
                <w:szCs w:val="24"/>
              </w:rPr>
              <w:t>Reauthorizes Health Resources and Services Administration (HRSA) grant programs that promote the use of telehealth technologies for health care delivery, education, and health information services.</w:t>
            </w:r>
          </w:p>
          <w:p w:rsidR="009627B6" w:rsidRPr="003A31D1" w:rsidRDefault="009627B6">
            <w:pPr>
              <w:numPr>
                <w:ilvl w:val="0"/>
                <w:numId w:val="1"/>
              </w:numPr>
              <w:contextualSpacing/>
              <w:rPr>
                <w:rFonts w:ascii="Times New Roman" w:hAnsi="Times New Roman" w:cs="Times New Roman"/>
                <w:sz w:val="24"/>
                <w:szCs w:val="24"/>
              </w:rPr>
            </w:pPr>
            <w:r w:rsidRPr="003A31D1">
              <w:rPr>
                <w:rFonts w:ascii="Times New Roman" w:hAnsi="Times New Roman" w:cs="Times New Roman"/>
                <w:sz w:val="24"/>
                <w:szCs w:val="24"/>
              </w:rPr>
              <w:t xml:space="preserve">Telehealth offers flexibility for patients with, or at risk of contracting, COVID-19 to access screening or </w:t>
            </w:r>
            <w:r w:rsidR="006B3A56">
              <w:rPr>
                <w:rFonts w:ascii="Times New Roman" w:hAnsi="Times New Roman" w:cs="Times New Roman"/>
                <w:sz w:val="24"/>
                <w:szCs w:val="24"/>
              </w:rPr>
              <w:t>monitor symptoms and</w:t>
            </w:r>
            <w:r w:rsidR="006B3A56" w:rsidRPr="003A31D1">
              <w:rPr>
                <w:rFonts w:ascii="Times New Roman" w:hAnsi="Times New Roman" w:cs="Times New Roman"/>
                <w:sz w:val="24"/>
                <w:szCs w:val="24"/>
              </w:rPr>
              <w:t xml:space="preserve"> </w:t>
            </w:r>
            <w:r w:rsidRPr="003A31D1">
              <w:rPr>
                <w:rFonts w:ascii="Times New Roman" w:hAnsi="Times New Roman" w:cs="Times New Roman"/>
                <w:sz w:val="24"/>
                <w:szCs w:val="24"/>
              </w:rPr>
              <w:t>care while avoiding exposure to others.</w:t>
            </w:r>
          </w:p>
        </w:tc>
      </w:tr>
      <w:tr w:rsidR="009627B6" w:rsidRPr="003A31D1" w:rsidTr="009627B6">
        <w:trPr>
          <w:trHeight w:val="1700"/>
        </w:trPr>
        <w:tc>
          <w:tcPr>
            <w:tcW w:w="2358" w:type="dxa"/>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213. Rural health care services outreach, rural health network development, and small health care provider quality improvement grant programs.</w:t>
            </w:r>
          </w:p>
        </w:tc>
        <w:tc>
          <w:tcPr>
            <w:tcW w:w="11160" w:type="dxa"/>
          </w:tcPr>
          <w:p w:rsidR="009627B6" w:rsidRPr="003A31D1" w:rsidRDefault="009627B6" w:rsidP="00B24F11">
            <w:pPr>
              <w:numPr>
                <w:ilvl w:val="0"/>
                <w:numId w:val="1"/>
              </w:numPr>
              <w:contextualSpacing/>
              <w:rPr>
                <w:rFonts w:ascii="Times New Roman" w:hAnsi="Times New Roman" w:cs="Times New Roman"/>
                <w:sz w:val="24"/>
                <w:szCs w:val="24"/>
              </w:rPr>
            </w:pPr>
            <w:r w:rsidRPr="003A31D1">
              <w:rPr>
                <w:rFonts w:ascii="Times New Roman" w:hAnsi="Times New Roman" w:cs="Times New Roman"/>
                <w:sz w:val="24"/>
                <w:szCs w:val="24"/>
              </w:rPr>
              <w:t>Reauthorizes HRSA grant programs to strengthen rural community health by focusing on quality improvement, increasing health care access, coordination of care, and integration of services.</w:t>
            </w:r>
          </w:p>
          <w:p w:rsidR="009627B6" w:rsidRPr="003A31D1" w:rsidRDefault="009627B6" w:rsidP="00B24F11">
            <w:pPr>
              <w:numPr>
                <w:ilvl w:val="0"/>
                <w:numId w:val="1"/>
              </w:numPr>
              <w:contextualSpacing/>
              <w:rPr>
                <w:rFonts w:ascii="Times New Roman" w:hAnsi="Times New Roman" w:cs="Times New Roman"/>
                <w:sz w:val="24"/>
                <w:szCs w:val="24"/>
              </w:rPr>
            </w:pPr>
            <w:r w:rsidRPr="003A31D1">
              <w:rPr>
                <w:rFonts w:ascii="Times New Roman" w:hAnsi="Times New Roman" w:cs="Times New Roman"/>
                <w:sz w:val="24"/>
                <w:szCs w:val="24"/>
              </w:rPr>
              <w:t>Rural residents are disproportionately older and more likely to have a chronic disease, which could increase their risk for more severe illness if they contract COVID-19.</w:t>
            </w:r>
          </w:p>
        </w:tc>
      </w:tr>
      <w:tr w:rsidR="009627B6" w:rsidRPr="003A31D1" w:rsidTr="009627B6">
        <w:trPr>
          <w:trHeight w:val="1277"/>
        </w:trPr>
        <w:tc>
          <w:tcPr>
            <w:tcW w:w="2358" w:type="dxa"/>
            <w:shd w:val="clear" w:color="auto" w:fill="DEEAF6" w:themeFill="accent1" w:themeFillTint="33"/>
          </w:tcPr>
          <w:p w:rsidR="009627B6" w:rsidRPr="003A31D1" w:rsidRDefault="009627B6" w:rsidP="00B24F11">
            <w:pPr>
              <w:contextualSpacing/>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214. United States Public Health Service Modernization.</w:t>
            </w:r>
          </w:p>
        </w:tc>
        <w:tc>
          <w:tcPr>
            <w:tcW w:w="11160" w:type="dxa"/>
            <w:shd w:val="clear" w:color="auto" w:fill="DEEAF6" w:themeFill="accent1" w:themeFillTint="33"/>
          </w:tcPr>
          <w:p w:rsidR="009627B6" w:rsidRPr="003A31D1" w:rsidRDefault="009627B6" w:rsidP="003A31D1">
            <w:pPr>
              <w:numPr>
                <w:ilvl w:val="0"/>
                <w:numId w:val="8"/>
              </w:numPr>
              <w:contextualSpacing/>
              <w:rPr>
                <w:rFonts w:ascii="Times New Roman" w:hAnsi="Times New Roman" w:cs="Times New Roman"/>
                <w:sz w:val="24"/>
                <w:szCs w:val="24"/>
              </w:rPr>
            </w:pPr>
            <w:r w:rsidRPr="003A31D1">
              <w:rPr>
                <w:rFonts w:ascii="Times New Roman" w:hAnsi="Times New Roman" w:cs="Times New Roman"/>
                <w:sz w:val="24"/>
                <w:szCs w:val="24"/>
              </w:rPr>
              <w:t xml:space="preserve">Establishes a </w:t>
            </w:r>
            <w:r w:rsidR="008E0279">
              <w:rPr>
                <w:rFonts w:ascii="Times New Roman" w:hAnsi="Times New Roman" w:cs="Times New Roman"/>
                <w:sz w:val="24"/>
                <w:szCs w:val="24"/>
              </w:rPr>
              <w:t>Ready Reserve Corps to help ensure nation has</w:t>
            </w:r>
            <w:r w:rsidRPr="003A31D1">
              <w:rPr>
                <w:rFonts w:ascii="Times New Roman" w:hAnsi="Times New Roman" w:cs="Times New Roman"/>
                <w:sz w:val="24"/>
                <w:szCs w:val="24"/>
              </w:rPr>
              <w:t xml:space="preserve"> enough trained doctors and nurses to respond to COVID-19 and other public health emergencies.</w:t>
            </w:r>
          </w:p>
        </w:tc>
      </w:tr>
      <w:tr w:rsidR="009627B6" w:rsidRPr="003A31D1" w:rsidTr="009627B6">
        <w:trPr>
          <w:trHeight w:val="962"/>
        </w:trPr>
        <w:tc>
          <w:tcPr>
            <w:tcW w:w="2358" w:type="dxa"/>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215. Limitation on liability for volunteer health care professionals during COVID-19 emergency response.</w:t>
            </w:r>
          </w:p>
          <w:p w:rsidR="009627B6" w:rsidRPr="003A31D1" w:rsidRDefault="009627B6" w:rsidP="00B24F11">
            <w:pPr>
              <w:rPr>
                <w:rFonts w:ascii="Times New Roman" w:hAnsi="Times New Roman" w:cs="Times New Roman"/>
                <w:sz w:val="24"/>
                <w:szCs w:val="24"/>
              </w:rPr>
            </w:pPr>
          </w:p>
        </w:tc>
        <w:tc>
          <w:tcPr>
            <w:tcW w:w="11160" w:type="dxa"/>
          </w:tcPr>
          <w:p w:rsidR="009627B6" w:rsidRPr="003A31D1" w:rsidRDefault="008E0279" w:rsidP="003A31D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Makes clear </w:t>
            </w:r>
            <w:r w:rsidR="00A71EAB">
              <w:rPr>
                <w:rFonts w:ascii="Times New Roman" w:hAnsi="Times New Roman" w:cs="Times New Roman"/>
                <w:sz w:val="24"/>
                <w:szCs w:val="24"/>
              </w:rPr>
              <w:t>health care providers</w:t>
            </w:r>
            <w:r w:rsidR="009627B6" w:rsidRPr="003A31D1">
              <w:rPr>
                <w:rFonts w:ascii="Times New Roman" w:hAnsi="Times New Roman" w:cs="Times New Roman"/>
                <w:sz w:val="24"/>
                <w:szCs w:val="24"/>
              </w:rPr>
              <w:t xml:space="preserve"> who provide volunteer medical services during the public health emergency related to COVID-19 have liability protections</w:t>
            </w:r>
            <w:r w:rsidR="00A71EAB">
              <w:rPr>
                <w:rFonts w:ascii="Times New Roman" w:hAnsi="Times New Roman" w:cs="Times New Roman"/>
                <w:sz w:val="24"/>
                <w:szCs w:val="24"/>
              </w:rPr>
              <w:t xml:space="preserve"> under specified conditions</w:t>
            </w:r>
            <w:r w:rsidR="009627B6" w:rsidRPr="003A31D1">
              <w:rPr>
                <w:rFonts w:ascii="Times New Roman" w:hAnsi="Times New Roman" w:cs="Times New Roman"/>
                <w:sz w:val="24"/>
                <w:szCs w:val="24"/>
              </w:rPr>
              <w:t>.</w:t>
            </w:r>
          </w:p>
        </w:tc>
      </w:tr>
      <w:tr w:rsidR="009627B6" w:rsidRPr="003A31D1" w:rsidTr="009627B6">
        <w:trPr>
          <w:trHeight w:val="962"/>
        </w:trPr>
        <w:tc>
          <w:tcPr>
            <w:tcW w:w="2358" w:type="dxa"/>
            <w:shd w:val="clear" w:color="auto" w:fill="DEEAF6" w:themeFill="accent1" w:themeFillTint="33"/>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216. Flexibility for members of National Health Service Corps during emergency period.</w:t>
            </w:r>
          </w:p>
        </w:tc>
        <w:tc>
          <w:tcPr>
            <w:tcW w:w="11160" w:type="dxa"/>
            <w:shd w:val="clear" w:color="auto" w:fill="DEEAF6" w:themeFill="accent1" w:themeFillTint="33"/>
          </w:tcPr>
          <w:p w:rsidR="009627B6" w:rsidRPr="003A31D1" w:rsidRDefault="009627B6" w:rsidP="003A31D1">
            <w:pPr>
              <w:pStyle w:val="ListParagraph"/>
              <w:numPr>
                <w:ilvl w:val="0"/>
                <w:numId w:val="8"/>
              </w:numPr>
              <w:spacing w:after="0" w:line="240" w:lineRule="auto"/>
              <w:rPr>
                <w:rFonts w:ascii="Times New Roman" w:hAnsi="Times New Roman" w:cs="Times New Roman"/>
                <w:sz w:val="24"/>
                <w:szCs w:val="24"/>
              </w:rPr>
            </w:pPr>
            <w:r w:rsidRPr="003A31D1">
              <w:rPr>
                <w:rFonts w:ascii="Times New Roman" w:hAnsi="Times New Roman" w:cs="Times New Roman"/>
                <w:sz w:val="24"/>
                <w:szCs w:val="24"/>
              </w:rPr>
              <w:t>Allows the Secretary of Health and Human Services (HHS) to reassign members of the National Health Service Corps</w:t>
            </w:r>
            <w:r w:rsidR="003B1397">
              <w:rPr>
                <w:rFonts w:ascii="Times New Roman" w:hAnsi="Times New Roman" w:cs="Times New Roman"/>
                <w:sz w:val="24"/>
                <w:szCs w:val="24"/>
              </w:rPr>
              <w:t xml:space="preserve"> (NHSC)</w:t>
            </w:r>
            <w:r w:rsidRPr="003A31D1">
              <w:rPr>
                <w:rFonts w:ascii="Times New Roman" w:hAnsi="Times New Roman" w:cs="Times New Roman"/>
                <w:sz w:val="24"/>
                <w:szCs w:val="24"/>
              </w:rPr>
              <w:t xml:space="preserve"> to sites close to the one to which they were originally assigned, with the</w:t>
            </w:r>
            <w:r w:rsidR="008E0279">
              <w:rPr>
                <w:rFonts w:ascii="Times New Roman" w:hAnsi="Times New Roman" w:cs="Times New Roman"/>
                <w:sz w:val="24"/>
                <w:szCs w:val="24"/>
              </w:rPr>
              <w:t xml:space="preserve"> C</w:t>
            </w:r>
            <w:r w:rsidR="003B1397">
              <w:rPr>
                <w:rFonts w:ascii="Times New Roman" w:hAnsi="Times New Roman" w:cs="Times New Roman"/>
                <w:sz w:val="24"/>
                <w:szCs w:val="24"/>
              </w:rPr>
              <w:t>orps</w:t>
            </w:r>
            <w:r w:rsidRPr="003A31D1">
              <w:rPr>
                <w:rFonts w:ascii="Times New Roman" w:hAnsi="Times New Roman" w:cs="Times New Roman"/>
                <w:sz w:val="24"/>
                <w:szCs w:val="24"/>
              </w:rPr>
              <w:t xml:space="preserve"> member’s </w:t>
            </w:r>
            <w:r w:rsidR="003B1397">
              <w:rPr>
                <w:rFonts w:ascii="Times New Roman" w:hAnsi="Times New Roman" w:cs="Times New Roman"/>
                <w:sz w:val="24"/>
                <w:szCs w:val="24"/>
              </w:rPr>
              <w:t xml:space="preserve">voluntary </w:t>
            </w:r>
            <w:r w:rsidRPr="003A31D1">
              <w:rPr>
                <w:rFonts w:ascii="Times New Roman" w:hAnsi="Times New Roman" w:cs="Times New Roman"/>
                <w:sz w:val="24"/>
                <w:szCs w:val="24"/>
              </w:rPr>
              <w:t>agreement, in order to respond to the COVID-19 public health emergency.</w:t>
            </w:r>
          </w:p>
        </w:tc>
      </w:tr>
      <w:tr w:rsidR="009627B6" w:rsidRPr="003A31D1" w:rsidTr="009627B6">
        <w:trPr>
          <w:trHeight w:val="962"/>
        </w:trPr>
        <w:tc>
          <w:tcPr>
            <w:tcW w:w="2358" w:type="dxa"/>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lastRenderedPageBreak/>
              <w:t>Sec. 3</w:t>
            </w:r>
            <w:r w:rsidRPr="003A31D1">
              <w:rPr>
                <w:rFonts w:ascii="Times New Roman" w:hAnsi="Times New Roman" w:cs="Times New Roman"/>
                <w:sz w:val="24"/>
                <w:szCs w:val="24"/>
              </w:rPr>
              <w:t>221. Confidentiality and disclosure of records relating to substance use disorder.</w:t>
            </w:r>
          </w:p>
        </w:tc>
        <w:tc>
          <w:tcPr>
            <w:tcW w:w="11160" w:type="dxa"/>
          </w:tcPr>
          <w:p w:rsidR="000B5DCF" w:rsidRDefault="00083CF4" w:rsidP="00083CF4">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Aligns </w:t>
            </w:r>
            <w:r w:rsidR="009627B6" w:rsidRPr="003A31D1">
              <w:rPr>
                <w:rFonts w:ascii="Times New Roman" w:hAnsi="Times New Roman" w:cs="Times New Roman"/>
                <w:sz w:val="24"/>
                <w:szCs w:val="24"/>
              </w:rPr>
              <w:t xml:space="preserve">the 42 CFR Part 2 regulations, which govern the confidentiality and sharing of substance use disorder treatment records, with </w:t>
            </w:r>
            <w:r w:rsidR="000B5DCF">
              <w:rPr>
                <w:rFonts w:ascii="Times New Roman" w:hAnsi="Times New Roman" w:cs="Times New Roman"/>
                <w:sz w:val="24"/>
                <w:szCs w:val="24"/>
              </w:rPr>
              <w:t xml:space="preserve">the requirements of the </w:t>
            </w:r>
            <w:r w:rsidR="009627B6" w:rsidRPr="003A31D1">
              <w:rPr>
                <w:rFonts w:ascii="Times New Roman" w:hAnsi="Times New Roman" w:cs="Times New Roman"/>
                <w:sz w:val="24"/>
                <w:szCs w:val="24"/>
              </w:rPr>
              <w:t xml:space="preserve">Health Insurance Portability and Accountability Act (HIPAA), </w:t>
            </w:r>
            <w:r>
              <w:rPr>
                <w:rFonts w:ascii="Times New Roman" w:hAnsi="Times New Roman" w:cs="Times New Roman"/>
                <w:sz w:val="24"/>
                <w:szCs w:val="24"/>
              </w:rPr>
              <w:t>following an initial opportunity for patients to give, or withhold, consent</w:t>
            </w:r>
            <w:r w:rsidR="009627B6" w:rsidRPr="003A31D1">
              <w:rPr>
                <w:rFonts w:ascii="Times New Roman" w:hAnsi="Times New Roman" w:cs="Times New Roman"/>
                <w:sz w:val="24"/>
                <w:szCs w:val="24"/>
              </w:rPr>
              <w:t>.</w:t>
            </w:r>
            <w:r>
              <w:rPr>
                <w:rFonts w:ascii="Times New Roman" w:hAnsi="Times New Roman" w:cs="Times New Roman"/>
                <w:sz w:val="24"/>
                <w:szCs w:val="24"/>
              </w:rPr>
              <w:t xml:space="preserve"> </w:t>
            </w:r>
          </w:p>
          <w:p w:rsidR="009627B6" w:rsidRPr="003A31D1" w:rsidRDefault="00083CF4" w:rsidP="00083CF4">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Establishes new protections against the use of such records for discriminatory purpose or in legal and administrative settings. Violation of these provisions would be enforced through civil monetary penalties</w:t>
            </w:r>
          </w:p>
        </w:tc>
      </w:tr>
      <w:tr w:rsidR="009627B6" w:rsidRPr="003A31D1" w:rsidTr="00F77595">
        <w:trPr>
          <w:trHeight w:val="1880"/>
        </w:trPr>
        <w:tc>
          <w:tcPr>
            <w:tcW w:w="2358" w:type="dxa"/>
            <w:shd w:val="clear" w:color="auto" w:fill="DEEAF6" w:themeFill="accent1" w:themeFillTint="33"/>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222. Nutrition services.</w:t>
            </w:r>
          </w:p>
        </w:tc>
        <w:tc>
          <w:tcPr>
            <w:tcW w:w="11160" w:type="dxa"/>
            <w:shd w:val="clear" w:color="auto" w:fill="DEEAF6" w:themeFill="accent1" w:themeFillTint="33"/>
          </w:tcPr>
          <w:p w:rsidR="0005474C" w:rsidRDefault="0005474C" w:rsidP="0005474C">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Allows for 100 percent transfer authority between </w:t>
            </w:r>
            <w:r w:rsidRPr="006C2CF2">
              <w:rPr>
                <w:rFonts w:ascii="Times New Roman" w:hAnsi="Times New Roman" w:cs="Times New Roman"/>
                <w:sz w:val="24"/>
                <w:szCs w:val="24"/>
              </w:rPr>
              <w:t xml:space="preserve">Older Americans Act (OAA) </w:t>
            </w:r>
            <w:r>
              <w:rPr>
                <w:rFonts w:ascii="Times New Roman" w:hAnsi="Times New Roman" w:cs="Times New Roman"/>
                <w:sz w:val="24"/>
                <w:szCs w:val="24"/>
              </w:rPr>
              <w:t xml:space="preserve">home-delivered and congregate meal program funding for the duration of the COVID-19 public health emergency. </w:t>
            </w:r>
          </w:p>
          <w:p w:rsidR="0005474C" w:rsidRDefault="0005474C" w:rsidP="0005474C">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Clarifies the meaning of “homebound” to include individuals who are practicing social distancing due to COVID-19.</w:t>
            </w:r>
          </w:p>
          <w:p w:rsidR="009627B6" w:rsidRDefault="009627B6">
            <w:pPr>
              <w:numPr>
                <w:ilvl w:val="0"/>
                <w:numId w:val="1"/>
              </w:numPr>
              <w:contextualSpacing/>
              <w:rPr>
                <w:rFonts w:ascii="Times New Roman" w:hAnsi="Times New Roman" w:cs="Times New Roman"/>
                <w:sz w:val="24"/>
                <w:szCs w:val="24"/>
              </w:rPr>
            </w:pPr>
            <w:r w:rsidRPr="003A31D1">
              <w:rPr>
                <w:rFonts w:ascii="Times New Roman" w:hAnsi="Times New Roman" w:cs="Times New Roman"/>
                <w:sz w:val="24"/>
                <w:szCs w:val="24"/>
              </w:rPr>
              <w:t>Waives nutrition requirements for</w:t>
            </w:r>
            <w:r w:rsidR="0005474C">
              <w:rPr>
                <w:rFonts w:ascii="Times New Roman" w:hAnsi="Times New Roman" w:cs="Times New Roman"/>
                <w:sz w:val="24"/>
                <w:szCs w:val="24"/>
              </w:rPr>
              <w:t xml:space="preserve"> OAA</w:t>
            </w:r>
            <w:r w:rsidRPr="003A31D1">
              <w:rPr>
                <w:rFonts w:ascii="Times New Roman" w:hAnsi="Times New Roman" w:cs="Times New Roman"/>
                <w:sz w:val="24"/>
                <w:szCs w:val="24"/>
              </w:rPr>
              <w:t xml:space="preserve"> meal programs during the public health emergency related to COVID-19 to ensure seniors can get meals in case certain food options are not available. </w:t>
            </w:r>
          </w:p>
          <w:p w:rsidR="003F03C0" w:rsidRPr="003A31D1" w:rsidRDefault="003F03C0" w:rsidP="00F77595">
            <w:pPr>
              <w:ind w:left="360"/>
              <w:contextualSpacing/>
              <w:rPr>
                <w:rFonts w:ascii="Times New Roman" w:hAnsi="Times New Roman" w:cs="Times New Roman"/>
                <w:sz w:val="24"/>
                <w:szCs w:val="24"/>
              </w:rPr>
            </w:pPr>
          </w:p>
        </w:tc>
      </w:tr>
      <w:tr w:rsidR="009627B6" w:rsidRPr="003A31D1" w:rsidTr="009627B6">
        <w:trPr>
          <w:trHeight w:val="962"/>
        </w:trPr>
        <w:tc>
          <w:tcPr>
            <w:tcW w:w="2358" w:type="dxa"/>
            <w:shd w:val="clear" w:color="auto" w:fill="auto"/>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223. Continuity of service and opportunities for participants in community service activities under title V of the Older Americans Act of 1965</w:t>
            </w:r>
          </w:p>
        </w:tc>
        <w:tc>
          <w:tcPr>
            <w:tcW w:w="11160" w:type="dxa"/>
            <w:shd w:val="clear" w:color="auto" w:fill="auto"/>
          </w:tcPr>
          <w:p w:rsidR="009627B6" w:rsidRPr="003A31D1" w:rsidRDefault="009627B6" w:rsidP="00B24F11">
            <w:pPr>
              <w:numPr>
                <w:ilvl w:val="0"/>
                <w:numId w:val="1"/>
              </w:numPr>
              <w:contextualSpacing/>
              <w:rPr>
                <w:rFonts w:ascii="Times New Roman" w:hAnsi="Times New Roman" w:cs="Times New Roman"/>
                <w:sz w:val="24"/>
                <w:szCs w:val="24"/>
              </w:rPr>
            </w:pPr>
            <w:r w:rsidRPr="003A31D1">
              <w:rPr>
                <w:rFonts w:ascii="Times New Roman" w:hAnsi="Times New Roman" w:cs="Times New Roman"/>
                <w:sz w:val="24"/>
                <w:szCs w:val="24"/>
              </w:rPr>
              <w:t>Allows the Secretary of Labor to extend older adults’ participation in community service projects under OAA and make administrative adjustments to facilitate their continued employment under the program.</w:t>
            </w:r>
          </w:p>
        </w:tc>
      </w:tr>
      <w:tr w:rsidR="009627B6" w:rsidRPr="003A31D1" w:rsidTr="009627B6">
        <w:trPr>
          <w:trHeight w:val="962"/>
        </w:trPr>
        <w:tc>
          <w:tcPr>
            <w:tcW w:w="2358" w:type="dxa"/>
            <w:shd w:val="clear" w:color="auto" w:fill="DEEAF6" w:themeFill="accent1" w:themeFillTint="33"/>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224. Guidance on protected health information.</w:t>
            </w:r>
          </w:p>
        </w:tc>
        <w:tc>
          <w:tcPr>
            <w:tcW w:w="11160" w:type="dxa"/>
            <w:shd w:val="clear" w:color="auto" w:fill="DEEAF6" w:themeFill="accent1" w:themeFillTint="33"/>
          </w:tcPr>
          <w:p w:rsidR="009627B6" w:rsidRPr="003A31D1" w:rsidRDefault="009627B6" w:rsidP="00083CF4">
            <w:pPr>
              <w:numPr>
                <w:ilvl w:val="0"/>
                <w:numId w:val="1"/>
              </w:numPr>
              <w:contextualSpacing/>
              <w:rPr>
                <w:rFonts w:ascii="Times New Roman" w:hAnsi="Times New Roman" w:cs="Times New Roman"/>
                <w:sz w:val="24"/>
                <w:szCs w:val="24"/>
              </w:rPr>
            </w:pPr>
            <w:r w:rsidRPr="003A31D1">
              <w:rPr>
                <w:rFonts w:ascii="Times New Roman" w:hAnsi="Times New Roman" w:cs="Times New Roman"/>
                <w:sz w:val="24"/>
                <w:szCs w:val="24"/>
              </w:rPr>
              <w:t>Requires the Department of Health and Human Services (HHS) to issue guidance</w:t>
            </w:r>
            <w:r w:rsidR="00083CF4">
              <w:rPr>
                <w:rFonts w:ascii="Times New Roman" w:hAnsi="Times New Roman" w:cs="Times New Roman"/>
                <w:sz w:val="24"/>
                <w:szCs w:val="24"/>
              </w:rPr>
              <w:t>, within 180 days,</w:t>
            </w:r>
            <w:r w:rsidRPr="003A31D1">
              <w:rPr>
                <w:rFonts w:ascii="Times New Roman" w:hAnsi="Times New Roman" w:cs="Times New Roman"/>
                <w:sz w:val="24"/>
                <w:szCs w:val="24"/>
              </w:rPr>
              <w:t xml:space="preserve"> on what</w:t>
            </w:r>
            <w:r w:rsidR="00083CF4">
              <w:rPr>
                <w:rFonts w:ascii="Times New Roman" w:hAnsi="Times New Roman" w:cs="Times New Roman"/>
                <w:sz w:val="24"/>
                <w:szCs w:val="24"/>
              </w:rPr>
              <w:t xml:space="preserve"> protected health information can be shared </w:t>
            </w:r>
            <w:r w:rsidRPr="003A31D1">
              <w:rPr>
                <w:rFonts w:ascii="Times New Roman" w:hAnsi="Times New Roman" w:cs="Times New Roman"/>
                <w:sz w:val="24"/>
                <w:szCs w:val="24"/>
              </w:rPr>
              <w:t>during the public health emergency related to COVID-19</w:t>
            </w:r>
            <w:r w:rsidR="00083CF4">
              <w:rPr>
                <w:rFonts w:ascii="Times New Roman" w:hAnsi="Times New Roman" w:cs="Times New Roman"/>
                <w:sz w:val="24"/>
                <w:szCs w:val="24"/>
              </w:rPr>
              <w:t>, under current law</w:t>
            </w:r>
            <w:r w:rsidRPr="003A31D1">
              <w:rPr>
                <w:rFonts w:ascii="Times New Roman" w:hAnsi="Times New Roman" w:cs="Times New Roman"/>
                <w:sz w:val="24"/>
                <w:szCs w:val="24"/>
              </w:rPr>
              <w:t>.</w:t>
            </w:r>
          </w:p>
        </w:tc>
      </w:tr>
      <w:tr w:rsidR="009627B6" w:rsidRPr="003A31D1" w:rsidTr="00F77595">
        <w:trPr>
          <w:trHeight w:val="2690"/>
        </w:trPr>
        <w:tc>
          <w:tcPr>
            <w:tcW w:w="2358" w:type="dxa"/>
            <w:shd w:val="clear" w:color="auto" w:fill="auto"/>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lastRenderedPageBreak/>
              <w:t>Sec. 3</w:t>
            </w:r>
            <w:r w:rsidRPr="003A31D1">
              <w:rPr>
                <w:rFonts w:ascii="Times New Roman" w:hAnsi="Times New Roman" w:cs="Times New Roman"/>
                <w:sz w:val="24"/>
                <w:szCs w:val="24"/>
              </w:rPr>
              <w:t xml:space="preserve">225. Reauthorization of </w:t>
            </w:r>
            <w:r w:rsidR="00C23F70">
              <w:rPr>
                <w:rFonts w:ascii="Times New Roman" w:hAnsi="Times New Roman" w:cs="Times New Roman"/>
                <w:sz w:val="24"/>
                <w:szCs w:val="24"/>
              </w:rPr>
              <w:t>H</w:t>
            </w:r>
            <w:r w:rsidRPr="003A31D1">
              <w:rPr>
                <w:rFonts w:ascii="Times New Roman" w:hAnsi="Times New Roman" w:cs="Times New Roman"/>
                <w:sz w:val="24"/>
                <w:szCs w:val="24"/>
              </w:rPr>
              <w:t xml:space="preserve">ealthy </w:t>
            </w:r>
            <w:r w:rsidR="00C23F70">
              <w:rPr>
                <w:rFonts w:ascii="Times New Roman" w:hAnsi="Times New Roman" w:cs="Times New Roman"/>
                <w:sz w:val="24"/>
                <w:szCs w:val="24"/>
              </w:rPr>
              <w:t>S</w:t>
            </w:r>
            <w:r w:rsidRPr="003A31D1">
              <w:rPr>
                <w:rFonts w:ascii="Times New Roman" w:hAnsi="Times New Roman" w:cs="Times New Roman"/>
                <w:sz w:val="24"/>
                <w:szCs w:val="24"/>
              </w:rPr>
              <w:t>tart program.</w:t>
            </w:r>
          </w:p>
        </w:tc>
        <w:tc>
          <w:tcPr>
            <w:tcW w:w="11160" w:type="dxa"/>
            <w:shd w:val="clear" w:color="auto" w:fill="auto"/>
          </w:tcPr>
          <w:p w:rsidR="00C23F70" w:rsidRDefault="00C23F70" w:rsidP="00C23F70">
            <w:pPr>
              <w:numPr>
                <w:ilvl w:val="0"/>
                <w:numId w:val="1"/>
              </w:numPr>
              <w:contextualSpacing/>
              <w:rPr>
                <w:rFonts w:ascii="Times New Roman" w:hAnsi="Times New Roman" w:cs="Times New Roman"/>
                <w:sz w:val="24"/>
                <w:szCs w:val="24"/>
              </w:rPr>
            </w:pPr>
            <w:r w:rsidRPr="003A31D1">
              <w:rPr>
                <w:rFonts w:ascii="Times New Roman" w:hAnsi="Times New Roman" w:cs="Times New Roman"/>
                <w:sz w:val="24"/>
                <w:szCs w:val="24"/>
              </w:rPr>
              <w:t xml:space="preserve">Reauthorizes </w:t>
            </w:r>
            <w:r>
              <w:rPr>
                <w:rFonts w:ascii="Times New Roman" w:hAnsi="Times New Roman" w:cs="Times New Roman"/>
                <w:sz w:val="24"/>
                <w:szCs w:val="24"/>
              </w:rPr>
              <w:t xml:space="preserve">the </w:t>
            </w:r>
            <w:r w:rsidRPr="003A31D1">
              <w:rPr>
                <w:rFonts w:ascii="Times New Roman" w:hAnsi="Times New Roman" w:cs="Times New Roman"/>
                <w:sz w:val="24"/>
                <w:szCs w:val="24"/>
              </w:rPr>
              <w:t>Healthy Start</w:t>
            </w:r>
            <w:r>
              <w:rPr>
                <w:rFonts w:ascii="Times New Roman" w:hAnsi="Times New Roman" w:cs="Times New Roman"/>
                <w:sz w:val="24"/>
                <w:szCs w:val="24"/>
              </w:rPr>
              <w:t xml:space="preserve"> program</w:t>
            </w:r>
            <w:r w:rsidRPr="00D02925">
              <w:rPr>
                <w:rFonts w:ascii="Times New Roman" w:hAnsi="Times New Roman" w:cs="Times New Roman"/>
                <w:sz w:val="24"/>
                <w:szCs w:val="24"/>
              </w:rPr>
              <w:t xml:space="preserve"> </w:t>
            </w:r>
            <w:r>
              <w:rPr>
                <w:rFonts w:ascii="Times New Roman" w:hAnsi="Times New Roman" w:cs="Times New Roman"/>
                <w:sz w:val="24"/>
                <w:szCs w:val="24"/>
              </w:rPr>
              <w:t xml:space="preserve">for five years (FY2021 through FY2025), which </w:t>
            </w:r>
            <w:r w:rsidRPr="00D02925">
              <w:rPr>
                <w:rFonts w:ascii="Times New Roman" w:hAnsi="Times New Roman" w:cs="Times New Roman"/>
                <w:sz w:val="24"/>
                <w:szCs w:val="24"/>
              </w:rPr>
              <w:t>aims to reduce the national infant mortality rate</w:t>
            </w:r>
            <w:r>
              <w:rPr>
                <w:rFonts w:ascii="Times New Roman" w:hAnsi="Times New Roman" w:cs="Times New Roman"/>
                <w:sz w:val="24"/>
                <w:szCs w:val="24"/>
              </w:rPr>
              <w:t xml:space="preserve"> and </w:t>
            </w:r>
            <w:r w:rsidRPr="003A31D1">
              <w:rPr>
                <w:rFonts w:ascii="Times New Roman" w:hAnsi="Times New Roman" w:cs="Times New Roman"/>
                <w:sz w:val="24"/>
                <w:szCs w:val="24"/>
              </w:rPr>
              <w:t>provides grants to improve access to services for women and their families, who may need additional support during the public health emergency related to COVID-19.</w:t>
            </w:r>
          </w:p>
          <w:p w:rsidR="00C23F70" w:rsidRPr="00D02925" w:rsidRDefault="00C23F70" w:rsidP="00C23F70">
            <w:pPr>
              <w:numPr>
                <w:ilvl w:val="0"/>
                <w:numId w:val="1"/>
              </w:numPr>
              <w:contextualSpacing/>
              <w:rPr>
                <w:rFonts w:ascii="Times New Roman" w:hAnsi="Times New Roman" w:cs="Times New Roman"/>
                <w:sz w:val="24"/>
                <w:szCs w:val="24"/>
              </w:rPr>
            </w:pPr>
            <w:r w:rsidRPr="00D02925">
              <w:rPr>
                <w:rFonts w:ascii="Times New Roman" w:hAnsi="Times New Roman" w:cs="Times New Roman"/>
                <w:sz w:val="24"/>
                <w:szCs w:val="24"/>
              </w:rPr>
              <w:t>Encourages coordination with the community in which grantees are located;</w:t>
            </w:r>
          </w:p>
          <w:p w:rsidR="00C23F70" w:rsidRPr="00D02925" w:rsidRDefault="00C23F70" w:rsidP="00C23F70">
            <w:pPr>
              <w:numPr>
                <w:ilvl w:val="0"/>
                <w:numId w:val="1"/>
              </w:numPr>
              <w:contextualSpacing/>
              <w:rPr>
                <w:rFonts w:ascii="Times New Roman" w:hAnsi="Times New Roman" w:cs="Times New Roman"/>
                <w:sz w:val="24"/>
                <w:szCs w:val="24"/>
              </w:rPr>
            </w:pPr>
            <w:r w:rsidRPr="00D02925">
              <w:rPr>
                <w:rFonts w:ascii="Times New Roman" w:hAnsi="Times New Roman" w:cs="Times New Roman"/>
                <w:sz w:val="24"/>
                <w:szCs w:val="24"/>
              </w:rPr>
              <w:t>Expands the criteria used to evaluate Healthy Start projects, including how projects have impacted infant mortality rates and perinatal and infant health outcomes; and</w:t>
            </w:r>
          </w:p>
          <w:p w:rsidR="009627B6" w:rsidRPr="00C23F70" w:rsidRDefault="00C23F70">
            <w:pPr>
              <w:numPr>
                <w:ilvl w:val="0"/>
                <w:numId w:val="1"/>
              </w:numPr>
              <w:contextualSpacing/>
              <w:rPr>
                <w:rFonts w:ascii="Times New Roman" w:hAnsi="Times New Roman" w:cs="Times New Roman"/>
                <w:sz w:val="24"/>
                <w:szCs w:val="24"/>
              </w:rPr>
            </w:pPr>
            <w:r w:rsidRPr="00D02925">
              <w:rPr>
                <w:rFonts w:ascii="Times New Roman" w:hAnsi="Times New Roman" w:cs="Times New Roman"/>
                <w:sz w:val="24"/>
                <w:szCs w:val="24"/>
              </w:rPr>
              <w:t>Instructs the Government Accountability Office (GAO) to issue a report detailing the allocation of the Healthy Start grants, progress in meeting the evaluation criteria, and improvements in health outcomes for program participants.</w:t>
            </w:r>
          </w:p>
        </w:tc>
      </w:tr>
      <w:tr w:rsidR="009627B6" w:rsidRPr="002A3DF8" w:rsidTr="009627B6">
        <w:trPr>
          <w:trHeight w:val="962"/>
        </w:trPr>
        <w:tc>
          <w:tcPr>
            <w:tcW w:w="2358" w:type="dxa"/>
            <w:shd w:val="clear" w:color="auto" w:fill="DEEAF6" w:themeFill="accent1" w:themeFillTint="33"/>
          </w:tcPr>
          <w:p w:rsidR="009627B6" w:rsidRPr="003A31D1"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w:t>
            </w:r>
            <w:r w:rsidRPr="003A31D1">
              <w:rPr>
                <w:rFonts w:ascii="Times New Roman" w:hAnsi="Times New Roman" w:cs="Times New Roman"/>
                <w:sz w:val="24"/>
                <w:szCs w:val="24"/>
              </w:rPr>
              <w:t>226. Importance of the blood supply.</w:t>
            </w:r>
          </w:p>
        </w:tc>
        <w:tc>
          <w:tcPr>
            <w:tcW w:w="11160" w:type="dxa"/>
            <w:shd w:val="clear" w:color="auto" w:fill="DEEAF6" w:themeFill="accent1" w:themeFillTint="33"/>
          </w:tcPr>
          <w:p w:rsidR="009627B6" w:rsidRPr="003A31D1" w:rsidRDefault="009627B6" w:rsidP="00B24F11">
            <w:pPr>
              <w:numPr>
                <w:ilvl w:val="0"/>
                <w:numId w:val="1"/>
              </w:numPr>
              <w:contextualSpacing/>
              <w:rPr>
                <w:rFonts w:ascii="Times New Roman" w:hAnsi="Times New Roman" w:cs="Times New Roman"/>
                <w:sz w:val="24"/>
                <w:szCs w:val="24"/>
              </w:rPr>
            </w:pPr>
            <w:r w:rsidRPr="003A31D1">
              <w:rPr>
                <w:rFonts w:ascii="Times New Roman" w:hAnsi="Times New Roman" w:cs="Times New Roman"/>
                <w:sz w:val="24"/>
                <w:szCs w:val="24"/>
              </w:rPr>
              <w:t xml:space="preserve">Directs the Secretary of HHS to carry out an initiative to improve awareness of the importance and safety of blood donation and the continued need for blood donations during the COVID-19 public health emergency. </w:t>
            </w:r>
          </w:p>
        </w:tc>
      </w:tr>
    </w:tbl>
    <w:p w:rsidR="003A31D1" w:rsidRPr="002A3DF8" w:rsidRDefault="003A31D1" w:rsidP="003A31D1">
      <w:pPr>
        <w:rPr>
          <w:rFonts w:ascii="Times New Roman" w:hAnsi="Times New Roman" w:cs="Times New Roman"/>
          <w:sz w:val="24"/>
          <w:szCs w:val="24"/>
        </w:rPr>
      </w:pPr>
    </w:p>
    <w:tbl>
      <w:tblPr>
        <w:tblStyle w:val="TableGrid"/>
        <w:tblW w:w="13518" w:type="dxa"/>
        <w:tblInd w:w="-113" w:type="dxa"/>
        <w:tblLook w:val="04A0" w:firstRow="1" w:lastRow="0" w:firstColumn="1" w:lastColumn="0" w:noHBand="0" w:noVBand="1"/>
      </w:tblPr>
      <w:tblGrid>
        <w:gridCol w:w="2358"/>
        <w:gridCol w:w="11160"/>
      </w:tblGrid>
      <w:tr w:rsidR="009627B6" w:rsidRPr="002A3DF8" w:rsidTr="009627B6">
        <w:tc>
          <w:tcPr>
            <w:tcW w:w="13518" w:type="dxa"/>
            <w:gridSpan w:val="2"/>
            <w:shd w:val="clear" w:color="auto" w:fill="9CC2E5" w:themeFill="accent1" w:themeFillTint="99"/>
            <w:vAlign w:val="center"/>
          </w:tcPr>
          <w:p w:rsidR="009627B6" w:rsidRPr="002A3DF8" w:rsidRDefault="009627B6" w:rsidP="00B24F11">
            <w:pPr>
              <w:ind w:left="360"/>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INNOVATION</w:t>
            </w:r>
          </w:p>
        </w:tc>
      </w:tr>
      <w:tr w:rsidR="009627B6" w:rsidRPr="002A3DF8" w:rsidTr="009627B6">
        <w:tc>
          <w:tcPr>
            <w:tcW w:w="2358" w:type="dxa"/>
            <w:shd w:val="clear" w:color="auto" w:fill="auto"/>
            <w:vAlign w:val="center"/>
          </w:tcPr>
          <w:p w:rsidR="009627B6" w:rsidRPr="002A3DF8" w:rsidRDefault="009627B6" w:rsidP="00B24F11">
            <w:pPr>
              <w:contextualSpacing/>
              <w:rPr>
                <w:rFonts w:ascii="Times New Roman" w:hAnsi="Times New Roman" w:cs="Times New Roman"/>
                <w:sz w:val="24"/>
                <w:szCs w:val="24"/>
              </w:rPr>
            </w:pPr>
            <w:r w:rsidRPr="002A3DF8">
              <w:rPr>
                <w:rFonts w:ascii="Times New Roman" w:hAnsi="Times New Roman" w:cs="Times New Roman"/>
                <w:sz w:val="24"/>
                <w:szCs w:val="24"/>
              </w:rPr>
              <w:t xml:space="preserve">Sec. </w:t>
            </w:r>
            <w:r>
              <w:rPr>
                <w:rFonts w:ascii="Times New Roman" w:hAnsi="Times New Roman" w:cs="Times New Roman"/>
                <w:sz w:val="24"/>
                <w:szCs w:val="24"/>
              </w:rPr>
              <w:t>3</w:t>
            </w:r>
            <w:r w:rsidRPr="002A3DF8">
              <w:rPr>
                <w:rFonts w:ascii="Times New Roman" w:hAnsi="Times New Roman" w:cs="Times New Roman"/>
                <w:sz w:val="24"/>
                <w:szCs w:val="24"/>
              </w:rPr>
              <w:t>301. Removing the cap on OTA</w:t>
            </w:r>
            <w:r>
              <w:rPr>
                <w:rFonts w:ascii="Times New Roman" w:hAnsi="Times New Roman" w:cs="Times New Roman"/>
                <w:sz w:val="24"/>
                <w:szCs w:val="24"/>
              </w:rPr>
              <w:t xml:space="preserve"> for public health emergencies</w:t>
            </w:r>
            <w:r w:rsidRPr="002A3DF8">
              <w:rPr>
                <w:rFonts w:ascii="Times New Roman" w:hAnsi="Times New Roman" w:cs="Times New Roman"/>
                <w:sz w:val="24"/>
                <w:szCs w:val="24"/>
              </w:rPr>
              <w:t>.</w:t>
            </w:r>
          </w:p>
          <w:p w:rsidR="009627B6" w:rsidRPr="002A3DF8" w:rsidRDefault="009627B6" w:rsidP="00B24F11">
            <w:pPr>
              <w:contextualSpacing/>
              <w:rPr>
                <w:rFonts w:ascii="Times New Roman" w:hAnsi="Times New Roman" w:cs="Times New Roman"/>
                <w:sz w:val="24"/>
                <w:szCs w:val="24"/>
              </w:rPr>
            </w:pPr>
          </w:p>
        </w:tc>
        <w:tc>
          <w:tcPr>
            <w:tcW w:w="11160" w:type="dxa"/>
            <w:shd w:val="clear" w:color="auto" w:fill="auto"/>
          </w:tcPr>
          <w:p w:rsidR="009627B6" w:rsidRPr="002A3DF8" w:rsidRDefault="00057620" w:rsidP="0005762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Amends the authority of the</w:t>
            </w:r>
            <w:r w:rsidR="009627B6" w:rsidRPr="002A3DF8">
              <w:rPr>
                <w:rFonts w:ascii="Times New Roman" w:hAnsi="Times New Roman" w:cs="Times New Roman"/>
                <w:sz w:val="24"/>
                <w:szCs w:val="24"/>
              </w:rPr>
              <w:t xml:space="preserve"> Biomedical Advanced Research and Development Authority (BARDA) </w:t>
            </w:r>
            <w:r>
              <w:rPr>
                <w:rFonts w:ascii="Times New Roman" w:hAnsi="Times New Roman" w:cs="Times New Roman"/>
                <w:sz w:val="24"/>
                <w:szCs w:val="24"/>
              </w:rPr>
              <w:t>regarding the</w:t>
            </w:r>
            <w:r w:rsidR="009627B6" w:rsidRPr="002A3DF8">
              <w:rPr>
                <w:rFonts w:ascii="Times New Roman" w:hAnsi="Times New Roman" w:cs="Times New Roman"/>
                <w:sz w:val="24"/>
                <w:szCs w:val="24"/>
              </w:rPr>
              <w:t xml:space="preserve"> </w:t>
            </w:r>
            <w:r>
              <w:rPr>
                <w:rFonts w:ascii="Times New Roman" w:hAnsi="Times New Roman" w:cs="Times New Roman"/>
                <w:sz w:val="24"/>
                <w:szCs w:val="24"/>
              </w:rPr>
              <w:t>use</w:t>
            </w:r>
            <w:r w:rsidR="009627B6" w:rsidRPr="002A3DF8">
              <w:rPr>
                <w:rFonts w:ascii="Times New Roman" w:hAnsi="Times New Roman" w:cs="Times New Roman"/>
                <w:sz w:val="24"/>
                <w:szCs w:val="24"/>
              </w:rPr>
              <w:t xml:space="preserve"> </w:t>
            </w:r>
            <w:r>
              <w:rPr>
                <w:rFonts w:ascii="Times New Roman" w:hAnsi="Times New Roman" w:cs="Times New Roman"/>
                <w:sz w:val="24"/>
                <w:szCs w:val="24"/>
              </w:rPr>
              <w:t xml:space="preserve">of </w:t>
            </w:r>
            <w:r w:rsidR="009627B6" w:rsidRPr="002A3DF8">
              <w:rPr>
                <w:rFonts w:ascii="Times New Roman" w:hAnsi="Times New Roman" w:cs="Times New Roman"/>
                <w:sz w:val="24"/>
                <w:szCs w:val="24"/>
              </w:rPr>
              <w:t>other transaction authority (OTA)</w:t>
            </w:r>
            <w:r w:rsidR="009627B6">
              <w:rPr>
                <w:rFonts w:ascii="Times New Roman" w:hAnsi="Times New Roman" w:cs="Times New Roman"/>
                <w:sz w:val="24"/>
                <w:szCs w:val="24"/>
              </w:rPr>
              <w:t xml:space="preserve"> during a public health emergency</w:t>
            </w:r>
            <w:r w:rsidR="009627B6" w:rsidRPr="002A3DF8">
              <w:rPr>
                <w:rFonts w:ascii="Times New Roman" w:hAnsi="Times New Roman" w:cs="Times New Roman"/>
                <w:sz w:val="24"/>
                <w:szCs w:val="24"/>
              </w:rPr>
              <w:t>.</w:t>
            </w:r>
          </w:p>
        </w:tc>
      </w:tr>
      <w:tr w:rsidR="009627B6" w:rsidRPr="002A3DF8" w:rsidTr="009627B6">
        <w:tc>
          <w:tcPr>
            <w:tcW w:w="2358" w:type="dxa"/>
            <w:shd w:val="clear" w:color="auto" w:fill="DEEAF6" w:themeFill="accent1" w:themeFillTint="33"/>
            <w:vAlign w:val="center"/>
          </w:tcPr>
          <w:p w:rsidR="009627B6" w:rsidRPr="002A3DF8" w:rsidRDefault="009627B6" w:rsidP="00B24F11">
            <w:pPr>
              <w:widowControl w:val="0"/>
              <w:autoSpaceDE w:val="0"/>
              <w:autoSpaceDN w:val="0"/>
              <w:adjustRightInd w:val="0"/>
              <w:spacing w:before="120"/>
              <w:rPr>
                <w:rFonts w:ascii="Times New Roman" w:hAnsi="Times New Roman" w:cs="Times New Roman"/>
                <w:sz w:val="24"/>
                <w:szCs w:val="24"/>
              </w:rPr>
            </w:pPr>
            <w:r w:rsidRPr="002A3DF8">
              <w:rPr>
                <w:rFonts w:ascii="Times New Roman" w:hAnsi="Times New Roman" w:cs="Times New Roman"/>
                <w:sz w:val="24"/>
                <w:szCs w:val="24"/>
              </w:rPr>
              <w:t xml:space="preserve">Sec. </w:t>
            </w:r>
            <w:r>
              <w:rPr>
                <w:rFonts w:ascii="Times New Roman" w:hAnsi="Times New Roman" w:cs="Times New Roman"/>
                <w:sz w:val="24"/>
                <w:szCs w:val="24"/>
              </w:rPr>
              <w:t>3</w:t>
            </w:r>
            <w:r w:rsidRPr="002A3DF8">
              <w:rPr>
                <w:rFonts w:ascii="Times New Roman" w:hAnsi="Times New Roman" w:cs="Times New Roman"/>
                <w:sz w:val="24"/>
                <w:szCs w:val="24"/>
              </w:rPr>
              <w:t>30</w:t>
            </w:r>
            <w:r>
              <w:rPr>
                <w:rFonts w:ascii="Times New Roman" w:hAnsi="Times New Roman" w:cs="Times New Roman"/>
                <w:sz w:val="24"/>
                <w:szCs w:val="24"/>
              </w:rPr>
              <w:t>2</w:t>
            </w:r>
            <w:r w:rsidRPr="002A3DF8">
              <w:rPr>
                <w:rFonts w:ascii="Times New Roman" w:hAnsi="Times New Roman" w:cs="Times New Roman"/>
                <w:sz w:val="24"/>
                <w:szCs w:val="24"/>
              </w:rPr>
              <w:t>. Priority zoonotic animal drugs.</w:t>
            </w:r>
          </w:p>
          <w:p w:rsidR="009627B6" w:rsidRPr="002A3DF8" w:rsidRDefault="009627B6" w:rsidP="00B24F11">
            <w:pPr>
              <w:contextualSpacing/>
              <w:rPr>
                <w:rFonts w:ascii="Times New Roman" w:hAnsi="Times New Roman" w:cs="Times New Roman"/>
                <w:sz w:val="24"/>
                <w:szCs w:val="24"/>
              </w:rPr>
            </w:pPr>
          </w:p>
        </w:tc>
        <w:tc>
          <w:tcPr>
            <w:tcW w:w="11160" w:type="dxa"/>
            <w:shd w:val="clear" w:color="auto" w:fill="DEEAF6" w:themeFill="accent1" w:themeFillTint="33"/>
            <w:vAlign w:val="center"/>
          </w:tcPr>
          <w:p w:rsidR="009627B6" w:rsidRPr="002A3DF8" w:rsidRDefault="00880183" w:rsidP="00123936">
            <w:pPr>
              <w:pStyle w:val="ListParagraph"/>
              <w:numPr>
                <w:ilvl w:val="0"/>
                <w:numId w:val="1"/>
              </w:numPr>
              <w:spacing w:after="0" w:line="240" w:lineRule="auto"/>
              <w:rPr>
                <w:rFonts w:ascii="Times New Roman" w:hAnsi="Times New Roman" w:cs="Times New Roman"/>
                <w:sz w:val="24"/>
                <w:szCs w:val="24"/>
              </w:rPr>
            </w:pPr>
            <w:r w:rsidRPr="002A3DF8">
              <w:rPr>
                <w:rFonts w:ascii="Times New Roman" w:hAnsi="Times New Roman" w:cs="Times New Roman"/>
                <w:sz w:val="24"/>
                <w:szCs w:val="24"/>
              </w:rPr>
              <w:t xml:space="preserve">Provides </w:t>
            </w:r>
            <w:r>
              <w:rPr>
                <w:rFonts w:ascii="Times New Roman" w:hAnsi="Times New Roman" w:cs="Times New Roman"/>
                <w:sz w:val="24"/>
                <w:szCs w:val="24"/>
              </w:rPr>
              <w:t>b</w:t>
            </w:r>
            <w:r w:rsidRPr="002A3DF8">
              <w:rPr>
                <w:rFonts w:ascii="Times New Roman" w:hAnsi="Times New Roman" w:cs="Times New Roman"/>
                <w:sz w:val="24"/>
                <w:szCs w:val="24"/>
              </w:rPr>
              <w:t xml:space="preserve">reakthrough </w:t>
            </w:r>
            <w:r>
              <w:rPr>
                <w:rFonts w:ascii="Times New Roman" w:hAnsi="Times New Roman" w:cs="Times New Roman"/>
                <w:sz w:val="24"/>
                <w:szCs w:val="24"/>
              </w:rPr>
              <w:t>therapy</w:t>
            </w:r>
            <w:r w:rsidRPr="002A3DF8">
              <w:rPr>
                <w:rFonts w:ascii="Times New Roman" w:hAnsi="Times New Roman" w:cs="Times New Roman"/>
                <w:sz w:val="24"/>
                <w:szCs w:val="24"/>
              </w:rPr>
              <w:t xml:space="preserve"> designations for drugs</w:t>
            </w:r>
            <w:r>
              <w:rPr>
                <w:rFonts w:ascii="Times New Roman" w:hAnsi="Times New Roman" w:cs="Times New Roman"/>
                <w:sz w:val="24"/>
                <w:szCs w:val="24"/>
              </w:rPr>
              <w:t xml:space="preserve"> </w:t>
            </w:r>
            <w:r w:rsidRPr="002A3DF8">
              <w:rPr>
                <w:rFonts w:ascii="Times New Roman" w:hAnsi="Times New Roman" w:cs="Times New Roman"/>
                <w:sz w:val="24"/>
                <w:szCs w:val="24"/>
              </w:rPr>
              <w:t xml:space="preserve">that </w:t>
            </w:r>
            <w:r>
              <w:rPr>
                <w:rFonts w:ascii="Times New Roman" w:hAnsi="Times New Roman" w:cs="Times New Roman"/>
                <w:sz w:val="24"/>
                <w:szCs w:val="24"/>
              </w:rPr>
              <w:t>have the potential to prevent or treat disease in animals that have the potential to cause serious or life threatening diseases or health consequences in humans</w:t>
            </w:r>
            <w:r w:rsidRPr="002A3DF8">
              <w:rPr>
                <w:rFonts w:ascii="Times New Roman" w:hAnsi="Times New Roman" w:cs="Times New Roman"/>
                <w:sz w:val="24"/>
                <w:szCs w:val="24"/>
              </w:rPr>
              <w:t>.</w:t>
            </w:r>
          </w:p>
        </w:tc>
      </w:tr>
    </w:tbl>
    <w:p w:rsidR="003A31D1" w:rsidRDefault="003A31D1" w:rsidP="003A31D1">
      <w:pPr>
        <w:spacing w:after="160" w:line="259" w:lineRule="auto"/>
        <w:rPr>
          <w:rFonts w:ascii="Times New Roman" w:eastAsia="Calibri" w:hAnsi="Times New Roman" w:cs="Times New Roman"/>
          <w:b/>
          <w:bCs/>
          <w:sz w:val="24"/>
          <w:szCs w:val="24"/>
        </w:rPr>
      </w:pPr>
    </w:p>
    <w:tbl>
      <w:tblPr>
        <w:tblStyle w:val="TableGrid"/>
        <w:tblW w:w="13518" w:type="dxa"/>
        <w:tblInd w:w="-113" w:type="dxa"/>
        <w:tblLook w:val="04A0" w:firstRow="1" w:lastRow="0" w:firstColumn="1" w:lastColumn="0" w:noHBand="0" w:noVBand="1"/>
      </w:tblPr>
      <w:tblGrid>
        <w:gridCol w:w="2358"/>
        <w:gridCol w:w="11160"/>
      </w:tblGrid>
      <w:tr w:rsidR="009627B6" w:rsidRPr="002A3DF8" w:rsidTr="009627B6">
        <w:tc>
          <w:tcPr>
            <w:tcW w:w="13518" w:type="dxa"/>
            <w:gridSpan w:val="2"/>
            <w:shd w:val="clear" w:color="auto" w:fill="9CC2E5" w:themeFill="accent1" w:themeFillTint="99"/>
            <w:vAlign w:val="center"/>
          </w:tcPr>
          <w:p w:rsidR="009627B6" w:rsidRPr="002A3DF8" w:rsidRDefault="009627B6" w:rsidP="00B24F11">
            <w:pPr>
              <w:ind w:left="360"/>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HEALTH CARE WORKFORCE</w:t>
            </w:r>
          </w:p>
        </w:tc>
      </w:tr>
      <w:tr w:rsidR="009627B6" w:rsidRPr="002A3DF8" w:rsidTr="009627B6">
        <w:tc>
          <w:tcPr>
            <w:tcW w:w="2358" w:type="dxa"/>
            <w:shd w:val="clear" w:color="auto" w:fill="auto"/>
            <w:vAlign w:val="center"/>
          </w:tcPr>
          <w:p w:rsidR="009627B6" w:rsidRPr="002A3DF8" w:rsidRDefault="009627B6" w:rsidP="00B24F11">
            <w:pPr>
              <w:contextualSpacing/>
              <w:rPr>
                <w:rFonts w:ascii="Times New Roman" w:hAnsi="Times New Roman" w:cs="Times New Roman"/>
                <w:sz w:val="24"/>
                <w:szCs w:val="24"/>
              </w:rPr>
            </w:pPr>
            <w:r>
              <w:rPr>
                <w:rFonts w:ascii="Times New Roman" w:hAnsi="Times New Roman" w:cs="Times New Roman"/>
                <w:sz w:val="24"/>
                <w:szCs w:val="24"/>
              </w:rPr>
              <w:t>Sec. 3401. Reauthorization of health professions workforce programs.</w:t>
            </w:r>
          </w:p>
          <w:p w:rsidR="009627B6" w:rsidRPr="002A3DF8" w:rsidRDefault="009627B6" w:rsidP="00B24F11">
            <w:pPr>
              <w:contextualSpacing/>
              <w:rPr>
                <w:rFonts w:ascii="Times New Roman" w:hAnsi="Times New Roman" w:cs="Times New Roman"/>
                <w:sz w:val="24"/>
                <w:szCs w:val="24"/>
              </w:rPr>
            </w:pPr>
          </w:p>
        </w:tc>
        <w:tc>
          <w:tcPr>
            <w:tcW w:w="11160" w:type="dxa"/>
            <w:vMerge w:val="restart"/>
            <w:shd w:val="clear" w:color="auto" w:fill="auto"/>
          </w:tcPr>
          <w:p w:rsidR="009627B6" w:rsidRPr="00677BD4" w:rsidRDefault="009627B6" w:rsidP="00123936">
            <w:pPr>
              <w:pStyle w:val="ListParagraph"/>
              <w:numPr>
                <w:ilvl w:val="0"/>
                <w:numId w:val="1"/>
              </w:numPr>
              <w:spacing w:after="0" w:line="240" w:lineRule="auto"/>
              <w:rPr>
                <w:rFonts w:ascii="Times New Roman" w:hAnsi="Times New Roman" w:cs="Times New Roman"/>
                <w:sz w:val="24"/>
                <w:szCs w:val="24"/>
              </w:rPr>
            </w:pPr>
            <w:r w:rsidRPr="00677BD4">
              <w:rPr>
                <w:rFonts w:ascii="Times New Roman" w:hAnsi="Times New Roman" w:cs="Times New Roman"/>
                <w:sz w:val="24"/>
                <w:szCs w:val="24"/>
              </w:rPr>
              <w:t>Reauthorizes and updates Title VII of the Public Health Service Act (PHSA), which pertains to programs to support clinician training and faculty development, including the training of practitioners in family medicine, general internal medicine, geriatrics, pediatrics, and other medical specialties.</w:t>
            </w:r>
          </w:p>
          <w:p w:rsidR="009627B6" w:rsidRPr="00677BD4" w:rsidRDefault="009627B6" w:rsidP="00B24F11">
            <w:pPr>
              <w:pStyle w:val="ListParagraph"/>
              <w:numPr>
                <w:ilvl w:val="0"/>
                <w:numId w:val="1"/>
              </w:numPr>
              <w:rPr>
                <w:rFonts w:ascii="Times New Roman" w:hAnsi="Times New Roman" w:cs="Times New Roman"/>
                <w:sz w:val="24"/>
                <w:szCs w:val="24"/>
              </w:rPr>
            </w:pPr>
            <w:r w:rsidRPr="00677BD4">
              <w:rPr>
                <w:rFonts w:ascii="Times New Roman" w:hAnsi="Times New Roman" w:cs="Times New Roman"/>
                <w:sz w:val="24"/>
                <w:szCs w:val="24"/>
              </w:rPr>
              <w:lastRenderedPageBreak/>
              <w:t>Directs the Secretary of HHS to develop a comprehensive and coordinated plan for health workforce programs, which may include performance measures and the identification of gaps between the outcomes of such programs and relevant workforce projection needs.</w:t>
            </w:r>
          </w:p>
          <w:p w:rsidR="009627B6" w:rsidRPr="005C5D3B" w:rsidRDefault="009627B6" w:rsidP="00B24F11">
            <w:pPr>
              <w:pStyle w:val="ListParagraph"/>
              <w:numPr>
                <w:ilvl w:val="0"/>
                <w:numId w:val="1"/>
              </w:numPr>
              <w:rPr>
                <w:rFonts w:ascii="Times New Roman" w:hAnsi="Times New Roman" w:cs="Times New Roman"/>
                <w:sz w:val="24"/>
                <w:szCs w:val="24"/>
              </w:rPr>
            </w:pPr>
            <w:r w:rsidRPr="00677BD4">
              <w:rPr>
                <w:rFonts w:ascii="Times New Roman" w:hAnsi="Times New Roman" w:cs="Times New Roman"/>
                <w:sz w:val="24"/>
                <w:szCs w:val="24"/>
              </w:rPr>
              <w:t>Title VII programs strengthen the health professions workforce to better meet the health care needs of certain populations, such as older individuals and those with chronic diseases, who could be at increased risk of contracting COVID-19.</w:t>
            </w:r>
          </w:p>
        </w:tc>
      </w:tr>
      <w:tr w:rsidR="009627B6" w:rsidRPr="002A3DF8" w:rsidTr="009627B6">
        <w:tc>
          <w:tcPr>
            <w:tcW w:w="2358" w:type="dxa"/>
            <w:shd w:val="clear" w:color="auto" w:fill="auto"/>
            <w:vAlign w:val="center"/>
          </w:tcPr>
          <w:p w:rsidR="009627B6" w:rsidRPr="002A3DF8" w:rsidRDefault="009627B6" w:rsidP="00B24F11">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Sec. 3402. Health workforce coordination. </w:t>
            </w:r>
          </w:p>
        </w:tc>
        <w:tc>
          <w:tcPr>
            <w:tcW w:w="11160" w:type="dxa"/>
            <w:vMerge/>
            <w:shd w:val="clear" w:color="auto" w:fill="auto"/>
          </w:tcPr>
          <w:p w:rsidR="009627B6" w:rsidRPr="002A3DF8" w:rsidRDefault="009627B6" w:rsidP="003A31D1">
            <w:pPr>
              <w:pStyle w:val="ListParagraph"/>
              <w:numPr>
                <w:ilvl w:val="0"/>
                <w:numId w:val="9"/>
              </w:numPr>
              <w:spacing w:line="240" w:lineRule="auto"/>
              <w:rPr>
                <w:rFonts w:ascii="Times New Roman" w:hAnsi="Times New Roman" w:cs="Times New Roman"/>
                <w:sz w:val="24"/>
                <w:szCs w:val="24"/>
              </w:rPr>
            </w:pPr>
          </w:p>
        </w:tc>
      </w:tr>
      <w:tr w:rsidR="009627B6" w:rsidRPr="002A3DF8" w:rsidTr="009627B6">
        <w:tc>
          <w:tcPr>
            <w:tcW w:w="2358" w:type="dxa"/>
            <w:shd w:val="clear" w:color="auto" w:fill="auto"/>
            <w:vAlign w:val="center"/>
          </w:tcPr>
          <w:p w:rsidR="009627B6" w:rsidRPr="002A3DF8"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3403. Education and training relating to geriatrics.</w:t>
            </w:r>
          </w:p>
          <w:p w:rsidR="009627B6" w:rsidRPr="002A3DF8" w:rsidRDefault="009627B6" w:rsidP="00B24F11">
            <w:pPr>
              <w:contextualSpacing/>
              <w:rPr>
                <w:rFonts w:ascii="Times New Roman" w:hAnsi="Times New Roman" w:cs="Times New Roman"/>
                <w:sz w:val="24"/>
                <w:szCs w:val="24"/>
              </w:rPr>
            </w:pPr>
          </w:p>
        </w:tc>
        <w:tc>
          <w:tcPr>
            <w:tcW w:w="11160" w:type="dxa"/>
            <w:vMerge/>
            <w:shd w:val="clear" w:color="auto" w:fill="auto"/>
            <w:vAlign w:val="center"/>
          </w:tcPr>
          <w:p w:rsidR="009627B6" w:rsidRPr="002A3DF8" w:rsidRDefault="009627B6" w:rsidP="003A31D1">
            <w:pPr>
              <w:pStyle w:val="ListParagraph"/>
              <w:numPr>
                <w:ilvl w:val="0"/>
                <w:numId w:val="10"/>
              </w:numPr>
              <w:spacing w:line="240" w:lineRule="auto"/>
              <w:rPr>
                <w:rFonts w:ascii="Times New Roman" w:hAnsi="Times New Roman" w:cs="Times New Roman"/>
                <w:sz w:val="24"/>
                <w:szCs w:val="24"/>
              </w:rPr>
            </w:pPr>
          </w:p>
        </w:tc>
      </w:tr>
      <w:tr w:rsidR="009627B6" w:rsidRPr="002A3DF8" w:rsidTr="009627B6">
        <w:tc>
          <w:tcPr>
            <w:tcW w:w="2358" w:type="dxa"/>
            <w:shd w:val="clear" w:color="auto" w:fill="DEEAF6" w:themeFill="accent1" w:themeFillTint="33"/>
            <w:vAlign w:val="center"/>
          </w:tcPr>
          <w:p w:rsidR="009627B6" w:rsidRDefault="009627B6" w:rsidP="00B24F11">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3404. Nursing workforce development.</w:t>
            </w:r>
          </w:p>
        </w:tc>
        <w:tc>
          <w:tcPr>
            <w:tcW w:w="11160" w:type="dxa"/>
            <w:shd w:val="clear" w:color="auto" w:fill="DEEAF6" w:themeFill="accent1" w:themeFillTint="33"/>
            <w:vAlign w:val="center"/>
          </w:tcPr>
          <w:p w:rsidR="009627B6" w:rsidRPr="00677BD4" w:rsidRDefault="009627B6" w:rsidP="003A31D1">
            <w:pPr>
              <w:pStyle w:val="ListParagraph"/>
              <w:numPr>
                <w:ilvl w:val="0"/>
                <w:numId w:val="10"/>
              </w:numPr>
              <w:rPr>
                <w:rFonts w:ascii="Times New Roman" w:hAnsi="Times New Roman" w:cs="Times New Roman"/>
                <w:sz w:val="24"/>
                <w:szCs w:val="24"/>
              </w:rPr>
            </w:pPr>
            <w:r w:rsidRPr="00677BD4">
              <w:rPr>
                <w:rFonts w:ascii="Times New Roman" w:hAnsi="Times New Roman" w:cs="Times New Roman"/>
                <w:sz w:val="24"/>
                <w:szCs w:val="24"/>
              </w:rPr>
              <w:t>Reauthorizes and updates Title VIII of the PHSA, which pertains to nurse workforce training programs.</w:t>
            </w:r>
          </w:p>
          <w:p w:rsidR="009627B6" w:rsidRPr="00677BD4" w:rsidRDefault="009627B6" w:rsidP="003A31D1">
            <w:pPr>
              <w:pStyle w:val="ListParagraph"/>
              <w:numPr>
                <w:ilvl w:val="0"/>
                <w:numId w:val="10"/>
              </w:numPr>
              <w:rPr>
                <w:rFonts w:ascii="Times New Roman" w:hAnsi="Times New Roman" w:cs="Times New Roman"/>
                <w:sz w:val="24"/>
                <w:szCs w:val="24"/>
              </w:rPr>
            </w:pPr>
            <w:r w:rsidRPr="00677BD4">
              <w:rPr>
                <w:rFonts w:ascii="Times New Roman" w:hAnsi="Times New Roman" w:cs="Times New Roman"/>
                <w:sz w:val="24"/>
                <w:szCs w:val="24"/>
              </w:rPr>
              <w:t>Updates reporting requirements to include information on the extent to which Title VIII programs meet the goals and performance measures for such activities, and the extent to which HHS  coordinates with other Federal departments on related programs.</w:t>
            </w:r>
          </w:p>
          <w:p w:rsidR="009627B6" w:rsidRPr="00677BD4" w:rsidRDefault="009627B6" w:rsidP="003A31D1">
            <w:pPr>
              <w:pStyle w:val="ListParagraph"/>
              <w:numPr>
                <w:ilvl w:val="0"/>
                <w:numId w:val="10"/>
              </w:numPr>
              <w:rPr>
                <w:rFonts w:ascii="Times New Roman" w:hAnsi="Times New Roman" w:cs="Times New Roman"/>
                <w:sz w:val="24"/>
                <w:szCs w:val="24"/>
              </w:rPr>
            </w:pPr>
            <w:r w:rsidRPr="00677BD4">
              <w:rPr>
                <w:rFonts w:ascii="Times New Roman" w:hAnsi="Times New Roman" w:cs="Times New Roman"/>
                <w:sz w:val="24"/>
                <w:szCs w:val="24"/>
              </w:rPr>
              <w:t xml:space="preserve">Permits Nurse Corps loan repayment beneficiaries to serve at private institutions under certain circumstances. </w:t>
            </w:r>
          </w:p>
          <w:p w:rsidR="009627B6" w:rsidRPr="005C5D3B" w:rsidRDefault="009627B6">
            <w:pPr>
              <w:pStyle w:val="ListParagraph"/>
              <w:numPr>
                <w:ilvl w:val="0"/>
                <w:numId w:val="10"/>
              </w:numPr>
              <w:rPr>
                <w:rFonts w:ascii="Times New Roman" w:hAnsi="Times New Roman" w:cs="Times New Roman"/>
                <w:sz w:val="24"/>
                <w:szCs w:val="24"/>
              </w:rPr>
            </w:pPr>
            <w:r w:rsidRPr="00677BD4">
              <w:rPr>
                <w:rFonts w:ascii="Times New Roman" w:hAnsi="Times New Roman" w:cs="Times New Roman"/>
                <w:sz w:val="24"/>
                <w:szCs w:val="24"/>
              </w:rPr>
              <w:t xml:space="preserve">Title VIII programs help to address current and emerging health care challenges by supporting the development of a robust nursing workforce, </w:t>
            </w:r>
            <w:r w:rsidR="00C23F70">
              <w:rPr>
                <w:rFonts w:ascii="Times New Roman" w:hAnsi="Times New Roman" w:cs="Times New Roman"/>
                <w:sz w:val="24"/>
                <w:szCs w:val="24"/>
              </w:rPr>
              <w:t xml:space="preserve">which is </w:t>
            </w:r>
            <w:r w:rsidRPr="00677BD4">
              <w:rPr>
                <w:rFonts w:ascii="Times New Roman" w:hAnsi="Times New Roman" w:cs="Times New Roman"/>
                <w:sz w:val="24"/>
                <w:szCs w:val="24"/>
              </w:rPr>
              <w:t>critical in responding to the COVID-19 pandemic and future public health emergencies.</w:t>
            </w:r>
          </w:p>
        </w:tc>
      </w:tr>
    </w:tbl>
    <w:p w:rsidR="00123936" w:rsidRDefault="00123936">
      <w:pPr>
        <w:spacing w:after="160" w:line="259" w:lineRule="auto"/>
      </w:pPr>
    </w:p>
    <w:tbl>
      <w:tblPr>
        <w:tblStyle w:val="TableGrid"/>
        <w:tblW w:w="13518" w:type="dxa"/>
        <w:tblInd w:w="-113" w:type="dxa"/>
        <w:tblLook w:val="04A0" w:firstRow="1" w:lastRow="0" w:firstColumn="1" w:lastColumn="0" w:noHBand="0" w:noVBand="1"/>
      </w:tblPr>
      <w:tblGrid>
        <w:gridCol w:w="2358"/>
        <w:gridCol w:w="11160"/>
      </w:tblGrid>
      <w:tr w:rsidR="00D31F8B" w:rsidRPr="002A3DF8" w:rsidTr="001276F3">
        <w:tc>
          <w:tcPr>
            <w:tcW w:w="13518" w:type="dxa"/>
            <w:gridSpan w:val="2"/>
            <w:shd w:val="clear" w:color="auto" w:fill="9CC2E5" w:themeFill="accent1" w:themeFillTint="99"/>
            <w:vAlign w:val="center"/>
          </w:tcPr>
          <w:p w:rsidR="00D31F8B" w:rsidRPr="002A3DF8" w:rsidRDefault="00D31F8B" w:rsidP="001276F3">
            <w:pPr>
              <w:ind w:left="360"/>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HEALTH EXTENDERS</w:t>
            </w:r>
          </w:p>
        </w:tc>
      </w:tr>
      <w:tr w:rsidR="00D31F8B" w:rsidRPr="002A3DF8" w:rsidTr="001276F3">
        <w:trPr>
          <w:trHeight w:val="2087"/>
        </w:trPr>
        <w:tc>
          <w:tcPr>
            <w:tcW w:w="2358" w:type="dxa"/>
            <w:shd w:val="clear" w:color="auto" w:fill="auto"/>
          </w:tcPr>
          <w:p w:rsidR="00D31F8B" w:rsidRPr="002A3DF8" w:rsidRDefault="00D31F8B" w:rsidP="001276F3">
            <w:pPr>
              <w:contextualSpacing/>
              <w:rPr>
                <w:rFonts w:ascii="Times New Roman" w:hAnsi="Times New Roman" w:cs="Times New Roman"/>
                <w:sz w:val="24"/>
                <w:szCs w:val="24"/>
              </w:rPr>
            </w:pPr>
            <w:r>
              <w:rPr>
                <w:rFonts w:ascii="Times New Roman" w:hAnsi="Times New Roman" w:cs="Times New Roman"/>
                <w:sz w:val="24"/>
                <w:szCs w:val="24"/>
              </w:rPr>
              <w:t>Sec. 3831. Extension for community health centers, the National Health Service Corps, and teaching health centers that operate GME programs.</w:t>
            </w:r>
          </w:p>
        </w:tc>
        <w:tc>
          <w:tcPr>
            <w:tcW w:w="11160" w:type="dxa"/>
            <w:shd w:val="clear" w:color="auto" w:fill="auto"/>
          </w:tcPr>
          <w:p w:rsidR="00D31F8B" w:rsidRPr="005C5D3B" w:rsidRDefault="00D31F8B" w:rsidP="001276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Extends community health centers, the National Health Service Corps, and teaching health centers that operate GME programs (THCGME) at current funding levels through November 30, 2020.</w:t>
            </w:r>
          </w:p>
        </w:tc>
      </w:tr>
      <w:tr w:rsidR="00D31F8B" w:rsidRPr="002A3DF8" w:rsidTr="00F77595">
        <w:trPr>
          <w:trHeight w:val="710"/>
        </w:trPr>
        <w:tc>
          <w:tcPr>
            <w:tcW w:w="2358" w:type="dxa"/>
            <w:shd w:val="clear" w:color="auto" w:fill="DEEAF6" w:themeFill="accent1" w:themeFillTint="33"/>
            <w:vAlign w:val="center"/>
          </w:tcPr>
          <w:p w:rsidR="00D31F8B" w:rsidRDefault="00D31F8B" w:rsidP="001276F3">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Sec.3832.Diabetes programs.</w:t>
            </w:r>
          </w:p>
          <w:p w:rsidR="00D31F8B" w:rsidRDefault="00D31F8B" w:rsidP="001276F3">
            <w:pPr>
              <w:widowControl w:val="0"/>
              <w:autoSpaceDE w:val="0"/>
              <w:autoSpaceDN w:val="0"/>
              <w:adjustRightInd w:val="0"/>
              <w:spacing w:before="120"/>
              <w:rPr>
                <w:rFonts w:ascii="Times New Roman" w:hAnsi="Times New Roman" w:cs="Times New Roman"/>
                <w:sz w:val="24"/>
                <w:szCs w:val="24"/>
              </w:rPr>
            </w:pPr>
          </w:p>
        </w:tc>
        <w:tc>
          <w:tcPr>
            <w:tcW w:w="11160" w:type="dxa"/>
            <w:shd w:val="clear" w:color="auto" w:fill="DEEAF6" w:themeFill="accent1" w:themeFillTint="33"/>
            <w:vAlign w:val="center"/>
          </w:tcPr>
          <w:p w:rsidR="00D31F8B" w:rsidRPr="005C5D3B" w:rsidRDefault="00D31F8B" w:rsidP="00D31F8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Extends the Special Diabetes Program (SDP) and the Special Diabetes Program for Indians (SDPI) at current funding levels through November 30, 2020.</w:t>
            </w:r>
          </w:p>
        </w:tc>
      </w:tr>
    </w:tbl>
    <w:p w:rsidR="00D31F8B" w:rsidRDefault="00D31F8B">
      <w:pPr>
        <w:spacing w:after="160" w:line="259" w:lineRule="auto"/>
      </w:pPr>
    </w:p>
    <w:p w:rsidR="00D31F8B" w:rsidRDefault="00D31F8B">
      <w:pPr>
        <w:spacing w:after="160" w:line="259" w:lineRule="auto"/>
      </w:pPr>
    </w:p>
    <w:tbl>
      <w:tblPr>
        <w:tblStyle w:val="TableGrid"/>
        <w:tblW w:w="13518" w:type="dxa"/>
        <w:tblInd w:w="-113" w:type="dxa"/>
        <w:tblLook w:val="04A0" w:firstRow="1" w:lastRow="0" w:firstColumn="1" w:lastColumn="0" w:noHBand="0" w:noVBand="1"/>
      </w:tblPr>
      <w:tblGrid>
        <w:gridCol w:w="2358"/>
        <w:gridCol w:w="11160"/>
      </w:tblGrid>
      <w:tr w:rsidR="00FA1B10" w:rsidRPr="002A3DF8" w:rsidTr="00C13180">
        <w:tc>
          <w:tcPr>
            <w:tcW w:w="13518" w:type="dxa"/>
            <w:gridSpan w:val="2"/>
            <w:shd w:val="clear" w:color="auto" w:fill="9CC2E5" w:themeFill="accent1" w:themeFillTint="99"/>
            <w:vAlign w:val="center"/>
          </w:tcPr>
          <w:p w:rsidR="00FA1B10" w:rsidRPr="002A3DF8" w:rsidRDefault="00FA1B10" w:rsidP="00FA1B10">
            <w:pPr>
              <w:ind w:left="360"/>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OVER THE COUNTER DRUGS</w:t>
            </w:r>
          </w:p>
        </w:tc>
      </w:tr>
      <w:tr w:rsidR="00FA1B10" w:rsidRPr="002A3DF8" w:rsidTr="00C13180">
        <w:tc>
          <w:tcPr>
            <w:tcW w:w="2358" w:type="dxa"/>
            <w:shd w:val="clear" w:color="auto" w:fill="auto"/>
            <w:vAlign w:val="center"/>
          </w:tcPr>
          <w:p w:rsidR="00FA1B10" w:rsidRPr="002A3DF8" w:rsidRDefault="00FA1B10" w:rsidP="00C13180">
            <w:pPr>
              <w:contextualSpacing/>
              <w:rPr>
                <w:rFonts w:ascii="Times New Roman" w:hAnsi="Times New Roman" w:cs="Times New Roman"/>
                <w:sz w:val="24"/>
                <w:szCs w:val="24"/>
              </w:rPr>
            </w:pPr>
            <w:r>
              <w:rPr>
                <w:rFonts w:ascii="Times New Roman" w:hAnsi="Times New Roman" w:cs="Times New Roman"/>
                <w:sz w:val="24"/>
                <w:szCs w:val="24"/>
              </w:rPr>
              <w:t>Sec.3851 Regulation of certain nonprescription drugs that are marketed with an approved drug application</w:t>
            </w:r>
          </w:p>
          <w:p w:rsidR="00FA1B10" w:rsidRPr="002A3DF8" w:rsidRDefault="00FA1B10" w:rsidP="00C13180">
            <w:pPr>
              <w:contextualSpacing/>
              <w:rPr>
                <w:rFonts w:ascii="Times New Roman" w:hAnsi="Times New Roman" w:cs="Times New Roman"/>
                <w:sz w:val="24"/>
                <w:szCs w:val="24"/>
              </w:rPr>
            </w:pPr>
          </w:p>
        </w:tc>
        <w:tc>
          <w:tcPr>
            <w:tcW w:w="11160" w:type="dxa"/>
            <w:shd w:val="clear" w:color="auto" w:fill="auto"/>
          </w:tcPr>
          <w:p w:rsidR="00FA1B10" w:rsidRDefault="00FA1B10" w:rsidP="00C1318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Reforms the regulatory process for over-the-counter (OTC) drug monographs by allowing the Food and Drug Administration (FDA) to approve changes </w:t>
            </w:r>
            <w:r w:rsidR="000B5DCF">
              <w:rPr>
                <w:rFonts w:ascii="Times New Roman" w:hAnsi="Times New Roman" w:cs="Times New Roman"/>
                <w:sz w:val="24"/>
                <w:szCs w:val="24"/>
              </w:rPr>
              <w:t xml:space="preserve">to those monographs </w:t>
            </w:r>
            <w:r>
              <w:rPr>
                <w:rFonts w:ascii="Times New Roman" w:hAnsi="Times New Roman" w:cs="Times New Roman"/>
                <w:sz w:val="24"/>
                <w:szCs w:val="24"/>
              </w:rPr>
              <w:t>administratively, rather than going through a full notice and comment rulemaking.</w:t>
            </w:r>
          </w:p>
          <w:p w:rsidR="00FA1B10" w:rsidRDefault="00FA1B10" w:rsidP="00C1318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Currently, FDA can approve all other drugs without going through a full notice and comment rulemaking, and this legislation makes sure OTC medicines receive the same treatment as other drugs. </w:t>
            </w:r>
          </w:p>
          <w:p w:rsidR="00FA1B10" w:rsidRPr="002A3DF8" w:rsidRDefault="00FA1B10" w:rsidP="00C1318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Incentivizes companies to create more innovative products by providing an 18-month market-exclusivity component that rewards a return on investment for new OTC drugs.</w:t>
            </w:r>
          </w:p>
        </w:tc>
      </w:tr>
      <w:tr w:rsidR="00FA1B10" w:rsidTr="00C13180">
        <w:trPr>
          <w:trHeight w:val="710"/>
        </w:trPr>
        <w:tc>
          <w:tcPr>
            <w:tcW w:w="2358" w:type="dxa"/>
            <w:shd w:val="clear" w:color="auto" w:fill="DEEAF6" w:themeFill="accent1" w:themeFillTint="33"/>
            <w:vAlign w:val="center"/>
          </w:tcPr>
          <w:p w:rsidR="00FA1B10" w:rsidRPr="002A3DF8" w:rsidRDefault="00FA1B10" w:rsidP="00C13180">
            <w:pPr>
              <w:contextualSpacing/>
              <w:rPr>
                <w:rFonts w:ascii="Times New Roman" w:hAnsi="Times New Roman" w:cs="Times New Roman"/>
                <w:sz w:val="24"/>
                <w:szCs w:val="24"/>
              </w:rPr>
            </w:pPr>
            <w:r>
              <w:rPr>
                <w:rFonts w:ascii="Times New Roman" w:hAnsi="Times New Roman" w:cs="Times New Roman"/>
                <w:sz w:val="24"/>
                <w:szCs w:val="24"/>
              </w:rPr>
              <w:t>Sec.3852 Misbranding</w:t>
            </w:r>
          </w:p>
        </w:tc>
        <w:tc>
          <w:tcPr>
            <w:tcW w:w="11160" w:type="dxa"/>
            <w:shd w:val="clear" w:color="auto" w:fill="DEEAF6" w:themeFill="accent1" w:themeFillTint="33"/>
          </w:tcPr>
          <w:p w:rsidR="00FA1B10" w:rsidRDefault="00FA1B10" w:rsidP="00C1318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Clarifies that an OTC drug that does not comply with the monograph requirements is misbranded.</w:t>
            </w:r>
          </w:p>
        </w:tc>
      </w:tr>
      <w:tr w:rsidR="00FA1B10" w:rsidTr="00C13180">
        <w:trPr>
          <w:trHeight w:val="1232"/>
        </w:trPr>
        <w:tc>
          <w:tcPr>
            <w:tcW w:w="2358" w:type="dxa"/>
            <w:shd w:val="clear" w:color="auto" w:fill="auto"/>
            <w:vAlign w:val="center"/>
          </w:tcPr>
          <w:p w:rsidR="00FA1B10" w:rsidRPr="002A3DF8" w:rsidRDefault="00FA1B10" w:rsidP="00C13180">
            <w:pPr>
              <w:contextualSpacing/>
              <w:rPr>
                <w:rFonts w:ascii="Times New Roman" w:hAnsi="Times New Roman" w:cs="Times New Roman"/>
                <w:sz w:val="24"/>
                <w:szCs w:val="24"/>
              </w:rPr>
            </w:pPr>
            <w:r>
              <w:rPr>
                <w:rFonts w:ascii="Times New Roman" w:hAnsi="Times New Roman" w:cs="Times New Roman"/>
                <w:sz w:val="24"/>
                <w:szCs w:val="24"/>
              </w:rPr>
              <w:t>Sec.3853. Drugs excluded from over-the-counter drug review</w:t>
            </w:r>
          </w:p>
        </w:tc>
        <w:tc>
          <w:tcPr>
            <w:tcW w:w="11160" w:type="dxa"/>
            <w:shd w:val="clear" w:color="auto" w:fill="auto"/>
          </w:tcPr>
          <w:p w:rsidR="00FA1B10" w:rsidRDefault="00F77F24" w:rsidP="00C1318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Clarifies that nothing in the CARES Act</w:t>
            </w:r>
            <w:r w:rsidR="00FA1B10">
              <w:rPr>
                <w:rFonts w:ascii="Times New Roman" w:hAnsi="Times New Roman" w:cs="Times New Roman"/>
                <w:sz w:val="24"/>
                <w:szCs w:val="24"/>
              </w:rPr>
              <w:t xml:space="preserve"> will apply to drugs previously excluded by the FDA from the Over-the-Counter Drug Review under a specified Federal Register document.</w:t>
            </w:r>
          </w:p>
        </w:tc>
      </w:tr>
      <w:tr w:rsidR="00FA1B10" w:rsidTr="00C13180">
        <w:trPr>
          <w:trHeight w:val="1097"/>
        </w:trPr>
        <w:tc>
          <w:tcPr>
            <w:tcW w:w="2358" w:type="dxa"/>
            <w:shd w:val="clear" w:color="auto" w:fill="DEEAF6" w:themeFill="accent1" w:themeFillTint="33"/>
            <w:vAlign w:val="center"/>
          </w:tcPr>
          <w:p w:rsidR="00FA1B10" w:rsidRPr="002A3DF8" w:rsidRDefault="00FA1B10" w:rsidP="00C13180">
            <w:pPr>
              <w:contextualSpacing/>
              <w:rPr>
                <w:rFonts w:ascii="Times New Roman" w:hAnsi="Times New Roman" w:cs="Times New Roman"/>
                <w:sz w:val="24"/>
                <w:szCs w:val="24"/>
              </w:rPr>
            </w:pPr>
            <w:r>
              <w:rPr>
                <w:rFonts w:ascii="Times New Roman" w:hAnsi="Times New Roman" w:cs="Times New Roman"/>
                <w:sz w:val="24"/>
                <w:szCs w:val="24"/>
              </w:rPr>
              <w:t>Sec.3854. Treatment of Sunscreen Innovation Act</w:t>
            </w:r>
          </w:p>
        </w:tc>
        <w:tc>
          <w:tcPr>
            <w:tcW w:w="11160" w:type="dxa"/>
            <w:shd w:val="clear" w:color="auto" w:fill="DEEAF6" w:themeFill="accent1" w:themeFillTint="33"/>
          </w:tcPr>
          <w:p w:rsidR="00FA1B10" w:rsidRDefault="00FA1B10" w:rsidP="000B5DC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Clarifies that sponsors of sunscreen ingredients with orders </w:t>
            </w:r>
            <w:r w:rsidR="000B5DCF">
              <w:rPr>
                <w:rFonts w:ascii="Times New Roman" w:hAnsi="Times New Roman" w:cs="Times New Roman"/>
                <w:sz w:val="24"/>
                <w:szCs w:val="24"/>
              </w:rPr>
              <w:t xml:space="preserve">pending with FDA </w:t>
            </w:r>
            <w:r>
              <w:rPr>
                <w:rFonts w:ascii="Times New Roman" w:hAnsi="Times New Roman" w:cs="Times New Roman"/>
                <w:sz w:val="24"/>
                <w:szCs w:val="24"/>
              </w:rPr>
              <w:t xml:space="preserve">have the option to </w:t>
            </w:r>
            <w:r w:rsidR="000B5DCF">
              <w:rPr>
                <w:rFonts w:ascii="Times New Roman" w:hAnsi="Times New Roman" w:cs="Times New Roman"/>
                <w:sz w:val="24"/>
                <w:szCs w:val="24"/>
              </w:rPr>
              <w:t xml:space="preserve">be </w:t>
            </w:r>
            <w:r>
              <w:rPr>
                <w:rFonts w:ascii="Times New Roman" w:hAnsi="Times New Roman" w:cs="Times New Roman"/>
                <w:sz w:val="24"/>
                <w:szCs w:val="24"/>
              </w:rPr>
              <w:t>review</w:t>
            </w:r>
            <w:r w:rsidR="000B5DCF">
              <w:rPr>
                <w:rFonts w:ascii="Times New Roman" w:hAnsi="Times New Roman" w:cs="Times New Roman"/>
                <w:sz w:val="24"/>
                <w:szCs w:val="24"/>
              </w:rPr>
              <w:t>ed</w:t>
            </w:r>
            <w:r>
              <w:rPr>
                <w:rFonts w:ascii="Times New Roman" w:hAnsi="Times New Roman" w:cs="Times New Roman"/>
                <w:sz w:val="24"/>
                <w:szCs w:val="24"/>
              </w:rPr>
              <w:t xml:space="preserve"> in accordance with the Sunscreen Innovation act or under the new monograph review process.</w:t>
            </w:r>
          </w:p>
        </w:tc>
      </w:tr>
      <w:tr w:rsidR="00FA1B10" w:rsidTr="00C13180">
        <w:trPr>
          <w:trHeight w:val="1700"/>
        </w:trPr>
        <w:tc>
          <w:tcPr>
            <w:tcW w:w="2358" w:type="dxa"/>
            <w:shd w:val="clear" w:color="auto" w:fill="auto"/>
            <w:vAlign w:val="center"/>
          </w:tcPr>
          <w:p w:rsidR="00FA1B10" w:rsidRPr="002A3DF8" w:rsidRDefault="00FA1B10" w:rsidP="00C13180">
            <w:pPr>
              <w:contextualSpacing/>
              <w:rPr>
                <w:rFonts w:ascii="Times New Roman" w:hAnsi="Times New Roman" w:cs="Times New Roman"/>
                <w:sz w:val="24"/>
                <w:szCs w:val="24"/>
              </w:rPr>
            </w:pPr>
            <w:r>
              <w:rPr>
                <w:rFonts w:ascii="Times New Roman" w:hAnsi="Times New Roman" w:cs="Times New Roman"/>
                <w:sz w:val="24"/>
                <w:szCs w:val="24"/>
              </w:rPr>
              <w:t>Sec.3855. Annual update to Congress on appropriate pediatric indication for certain OTC cough and cold drugs</w:t>
            </w:r>
          </w:p>
        </w:tc>
        <w:tc>
          <w:tcPr>
            <w:tcW w:w="11160" w:type="dxa"/>
            <w:shd w:val="clear" w:color="auto" w:fill="auto"/>
          </w:tcPr>
          <w:p w:rsidR="00FA1B10" w:rsidRDefault="00FA1B10" w:rsidP="000B5DC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Requires an annual update to Congress regarding FDA’s progress in evaluating pediatric indications for certain cough and cold monograph drugs for children under age six.</w:t>
            </w:r>
          </w:p>
        </w:tc>
      </w:tr>
      <w:tr w:rsidR="00FA1B10" w:rsidRPr="002A3DF8" w:rsidTr="00C13180">
        <w:trPr>
          <w:trHeight w:val="665"/>
        </w:trPr>
        <w:tc>
          <w:tcPr>
            <w:tcW w:w="2358" w:type="dxa"/>
            <w:shd w:val="clear" w:color="auto" w:fill="DEEAF6" w:themeFill="accent1" w:themeFillTint="33"/>
            <w:vAlign w:val="center"/>
          </w:tcPr>
          <w:p w:rsidR="00FA1B10" w:rsidRPr="002A3DF8" w:rsidRDefault="00FA1B10" w:rsidP="00C13180">
            <w:pPr>
              <w:contextualSpacing/>
              <w:rPr>
                <w:rFonts w:ascii="Times New Roman" w:hAnsi="Times New Roman" w:cs="Times New Roman"/>
                <w:sz w:val="24"/>
                <w:szCs w:val="24"/>
              </w:rPr>
            </w:pPr>
            <w:r>
              <w:rPr>
                <w:rFonts w:ascii="Times New Roman" w:hAnsi="Times New Roman" w:cs="Times New Roman"/>
                <w:sz w:val="24"/>
                <w:szCs w:val="24"/>
              </w:rPr>
              <w:t>Sec.3856. Technical corrections</w:t>
            </w:r>
          </w:p>
        </w:tc>
        <w:tc>
          <w:tcPr>
            <w:tcW w:w="11160" w:type="dxa"/>
            <w:shd w:val="clear" w:color="auto" w:fill="DEEAF6" w:themeFill="accent1" w:themeFillTint="33"/>
            <w:vAlign w:val="center"/>
          </w:tcPr>
          <w:p w:rsidR="00FA1B10" w:rsidRPr="002A3DF8" w:rsidRDefault="00FA1B10" w:rsidP="00C1318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Includes technical corrections to the Food and Drug Administration Reauthorization Act of 2017 and existing law.</w:t>
            </w:r>
          </w:p>
        </w:tc>
      </w:tr>
      <w:tr w:rsidR="00FA1B10" w:rsidRPr="002A3DF8" w:rsidTr="00C13180">
        <w:trPr>
          <w:trHeight w:val="548"/>
        </w:trPr>
        <w:tc>
          <w:tcPr>
            <w:tcW w:w="2358" w:type="dxa"/>
            <w:shd w:val="clear" w:color="auto" w:fill="auto"/>
            <w:vAlign w:val="center"/>
          </w:tcPr>
          <w:p w:rsidR="00FA1B10" w:rsidRPr="002A3DF8" w:rsidRDefault="00FA1B10" w:rsidP="00C13180">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S.3861. Finding</w:t>
            </w:r>
          </w:p>
        </w:tc>
        <w:tc>
          <w:tcPr>
            <w:tcW w:w="11160" w:type="dxa"/>
            <w:shd w:val="clear" w:color="auto" w:fill="auto"/>
            <w:vAlign w:val="center"/>
          </w:tcPr>
          <w:p w:rsidR="00FA1B10" w:rsidRPr="002A3DF8" w:rsidRDefault="00F77F24" w:rsidP="00C1318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Declares </w:t>
            </w:r>
            <w:r w:rsidR="00FA1B10">
              <w:rPr>
                <w:rFonts w:ascii="Times New Roman" w:hAnsi="Times New Roman" w:cs="Times New Roman"/>
                <w:sz w:val="24"/>
                <w:szCs w:val="24"/>
              </w:rPr>
              <w:t xml:space="preserve">the fees paid pursuant to this section will be dedicated to FDA review of over-the-counter monograph drugs. </w:t>
            </w:r>
          </w:p>
        </w:tc>
      </w:tr>
      <w:tr w:rsidR="00FA1B10" w:rsidTr="00C13180">
        <w:tc>
          <w:tcPr>
            <w:tcW w:w="2358" w:type="dxa"/>
            <w:shd w:val="clear" w:color="auto" w:fill="DEEAF6" w:themeFill="accent1" w:themeFillTint="33"/>
            <w:vAlign w:val="center"/>
          </w:tcPr>
          <w:p w:rsidR="00FA1B10" w:rsidRDefault="00FA1B10" w:rsidP="00C13180">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S.3862. Fees relating to over-the-counter drugs</w:t>
            </w:r>
          </w:p>
        </w:tc>
        <w:tc>
          <w:tcPr>
            <w:tcW w:w="11160" w:type="dxa"/>
            <w:shd w:val="clear" w:color="auto" w:fill="DEEAF6" w:themeFill="accent1" w:themeFillTint="33"/>
            <w:vAlign w:val="center"/>
          </w:tcPr>
          <w:p w:rsidR="00FA1B10" w:rsidRDefault="00FA1B10" w:rsidP="00C1318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Establishes a new FDA user fee to allow the agency to hire additional staff members to ensure there is adequate agency oversight to approve changes to OTC drugs.</w:t>
            </w:r>
          </w:p>
        </w:tc>
      </w:tr>
    </w:tbl>
    <w:p w:rsidR="00123936" w:rsidRDefault="00123936">
      <w:pPr>
        <w:spacing w:after="160" w:line="259" w:lineRule="auto"/>
      </w:pPr>
    </w:p>
    <w:p w:rsidR="00E409AF" w:rsidRDefault="00E409AF" w:rsidP="00E409AF">
      <w:pPr>
        <w:spacing w:after="160" w:line="259" w:lineRule="auto"/>
      </w:pPr>
    </w:p>
    <w:p w:rsidR="00E409AF" w:rsidRDefault="00E409AF" w:rsidP="00E409AF"/>
    <w:tbl>
      <w:tblPr>
        <w:tblStyle w:val="TableGrid"/>
        <w:tblW w:w="13518" w:type="dxa"/>
        <w:tblInd w:w="-113" w:type="dxa"/>
        <w:tblLook w:val="04A0" w:firstRow="1" w:lastRow="0" w:firstColumn="1" w:lastColumn="0" w:noHBand="0" w:noVBand="1"/>
      </w:tblPr>
      <w:tblGrid>
        <w:gridCol w:w="2358"/>
        <w:gridCol w:w="11160"/>
      </w:tblGrid>
      <w:tr w:rsidR="00E409AF" w:rsidRPr="00C31CBE" w:rsidTr="00563367">
        <w:tc>
          <w:tcPr>
            <w:tcW w:w="2358" w:type="dxa"/>
            <w:shd w:val="clear" w:color="auto" w:fill="9CC2E5" w:themeFill="accent1" w:themeFillTint="99"/>
            <w:vAlign w:val="center"/>
          </w:tcPr>
          <w:p w:rsidR="00E409AF" w:rsidRPr="00C31CBE" w:rsidRDefault="00E409AF" w:rsidP="00563367">
            <w:pPr>
              <w:contextualSpacing/>
              <w:rPr>
                <w:rFonts w:ascii="Times New Roman" w:hAnsi="Times New Roman" w:cs="Times New Roman"/>
                <w:sz w:val="24"/>
                <w:szCs w:val="24"/>
              </w:rPr>
            </w:pPr>
          </w:p>
        </w:tc>
        <w:tc>
          <w:tcPr>
            <w:tcW w:w="11160" w:type="dxa"/>
            <w:shd w:val="clear" w:color="auto" w:fill="9CC2E5" w:themeFill="accent1" w:themeFillTint="99"/>
            <w:vAlign w:val="center"/>
          </w:tcPr>
          <w:p w:rsidR="00E409AF" w:rsidRPr="00B37EBF" w:rsidRDefault="00E409AF" w:rsidP="00563367">
            <w:pPr>
              <w:pStyle w:val="ListParagraph"/>
              <w:tabs>
                <w:tab w:val="left" w:pos="942"/>
              </w:tabs>
              <w:spacing w:line="240" w:lineRule="auto"/>
              <w:ind w:left="360"/>
              <w:jc w:val="center"/>
              <w:rPr>
                <w:rFonts w:ascii="Times New Roman" w:hAnsi="Times New Roman" w:cs="Times New Roman"/>
                <w:b/>
                <w:sz w:val="24"/>
                <w:szCs w:val="24"/>
              </w:rPr>
            </w:pPr>
            <w:r w:rsidRPr="00B37EBF">
              <w:rPr>
                <w:rFonts w:ascii="Times New Roman" w:hAnsi="Times New Roman" w:cs="Times New Roman"/>
                <w:b/>
                <w:sz w:val="28"/>
                <w:szCs w:val="28"/>
              </w:rPr>
              <w:t>EDUCATION PROVISIONS</w:t>
            </w:r>
          </w:p>
        </w:tc>
      </w:tr>
      <w:tr w:rsidR="00E409AF" w:rsidRPr="00C31CBE" w:rsidTr="00563367">
        <w:tc>
          <w:tcPr>
            <w:tcW w:w="2358" w:type="dxa"/>
            <w:shd w:val="clear" w:color="auto" w:fill="auto"/>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502. Definitions</w:t>
            </w:r>
          </w:p>
        </w:tc>
        <w:tc>
          <w:tcPr>
            <w:tcW w:w="11160" w:type="dxa"/>
            <w:shd w:val="clear" w:color="auto" w:fill="auto"/>
            <w:vAlign w:val="center"/>
          </w:tcPr>
          <w:p w:rsidR="00E409AF" w:rsidRPr="00C31CBE" w:rsidRDefault="00F77F24" w:rsidP="005633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w:t>
            </w:r>
            <w:r w:rsidR="00E409AF" w:rsidRPr="00031867">
              <w:rPr>
                <w:rFonts w:ascii="Times New Roman" w:hAnsi="Times New Roman" w:cs="Times New Roman"/>
                <w:sz w:val="24"/>
                <w:szCs w:val="24"/>
              </w:rPr>
              <w:t>ets definitions for terms including “coronavirus,” “foreign institution,” “institution of higher education,” “qualifying emergency,” and “Secretary.”</w:t>
            </w:r>
          </w:p>
        </w:tc>
      </w:tr>
      <w:tr w:rsidR="00E409AF" w:rsidRPr="00C31CBE" w:rsidTr="00563367">
        <w:tc>
          <w:tcPr>
            <w:tcW w:w="2358" w:type="dxa"/>
            <w:shd w:val="clear" w:color="auto" w:fill="DEEAF6" w:themeFill="accent1" w:themeFillTint="33"/>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503. Campus-Based Aid Waivers</w:t>
            </w:r>
          </w:p>
        </w:tc>
        <w:tc>
          <w:tcPr>
            <w:tcW w:w="11160" w:type="dxa"/>
            <w:shd w:val="clear" w:color="auto" w:fill="DEEAF6" w:themeFill="accent1" w:themeFillTint="33"/>
            <w:vAlign w:val="center"/>
          </w:tcPr>
          <w:p w:rsidR="00E409AF" w:rsidRPr="00031867" w:rsidRDefault="00F77F24" w:rsidP="005633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w:t>
            </w:r>
            <w:r w:rsidR="00E409AF" w:rsidRPr="00031867">
              <w:rPr>
                <w:rFonts w:ascii="Times New Roman" w:hAnsi="Times New Roman" w:cs="Times New Roman"/>
                <w:sz w:val="24"/>
                <w:szCs w:val="24"/>
              </w:rPr>
              <w:t xml:space="preserve">aives the institutional matching requirement for higher education campus-based aid programs and allows institutions to transfer unused work-study funds to be used for supplemental grants. </w:t>
            </w:r>
          </w:p>
        </w:tc>
      </w:tr>
      <w:tr w:rsidR="00E409AF" w:rsidRPr="00C31CBE" w:rsidTr="00563367">
        <w:tc>
          <w:tcPr>
            <w:tcW w:w="2358" w:type="dxa"/>
            <w:shd w:val="clear" w:color="auto" w:fill="auto"/>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504. Use of Supplemental Educational Opportunity Grants for Emergency Aid</w:t>
            </w:r>
          </w:p>
          <w:p w:rsidR="00E409AF" w:rsidRPr="00C31CBE" w:rsidRDefault="00E409AF" w:rsidP="00563367">
            <w:pPr>
              <w:contextualSpacing/>
              <w:rPr>
                <w:rFonts w:ascii="Times New Roman" w:hAnsi="Times New Roman" w:cs="Times New Roman"/>
                <w:i/>
                <w:sz w:val="24"/>
                <w:szCs w:val="24"/>
              </w:rPr>
            </w:pPr>
          </w:p>
        </w:tc>
        <w:tc>
          <w:tcPr>
            <w:tcW w:w="11160" w:type="dxa"/>
            <w:shd w:val="clear" w:color="auto" w:fill="auto"/>
            <w:vAlign w:val="center"/>
          </w:tcPr>
          <w:p w:rsidR="00E409AF" w:rsidRDefault="00F77F24" w:rsidP="00563367">
            <w:pPr>
              <w:pStyle w:val="paragraph"/>
              <w:numPr>
                <w:ilvl w:val="0"/>
                <w:numId w:val="11"/>
              </w:numPr>
              <w:spacing w:before="0" w:beforeAutospacing="0" w:after="0" w:afterAutospacing="0"/>
              <w:textAlignment w:val="baseline"/>
              <w:rPr>
                <w:rStyle w:val="eop"/>
              </w:rPr>
            </w:pPr>
            <w:r>
              <w:rPr>
                <w:rStyle w:val="normaltextrun"/>
              </w:rPr>
              <w:t>A</w:t>
            </w:r>
            <w:r w:rsidR="00E409AF">
              <w:rPr>
                <w:rStyle w:val="normaltextrun"/>
              </w:rPr>
              <w:t>llows institutions of higher education to award additional SEOG funds as emergency grant aid to students impacted by COVID-19.</w:t>
            </w:r>
            <w:r w:rsidR="00E409AF">
              <w:rPr>
                <w:rStyle w:val="eop"/>
              </w:rPr>
              <w:t> </w:t>
            </w:r>
          </w:p>
          <w:p w:rsidR="00E409AF" w:rsidRPr="00C31CBE" w:rsidRDefault="00E409AF" w:rsidP="00563367">
            <w:pPr>
              <w:pStyle w:val="ListParagraph"/>
              <w:ind w:left="360"/>
              <w:rPr>
                <w:rFonts w:ascii="Times New Roman" w:hAnsi="Times New Roman" w:cs="Times New Roman"/>
                <w:sz w:val="24"/>
                <w:szCs w:val="24"/>
              </w:rPr>
            </w:pPr>
          </w:p>
        </w:tc>
      </w:tr>
      <w:tr w:rsidR="00E409AF" w:rsidRPr="00C31CBE" w:rsidTr="00563367">
        <w:tc>
          <w:tcPr>
            <w:tcW w:w="2358" w:type="dxa"/>
            <w:shd w:val="clear" w:color="auto" w:fill="DEEAF6" w:themeFill="accent1" w:themeFillTint="33"/>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505. Continuing Federal Work Study to Continue During a Qualifying Emergency</w:t>
            </w:r>
          </w:p>
        </w:tc>
        <w:tc>
          <w:tcPr>
            <w:tcW w:w="11160" w:type="dxa"/>
            <w:shd w:val="clear" w:color="auto" w:fill="DEEAF6" w:themeFill="accent1" w:themeFillTint="33"/>
            <w:vAlign w:val="center"/>
          </w:tcPr>
          <w:p w:rsidR="00E409AF" w:rsidRPr="00C31CBE" w:rsidRDefault="00F77F24"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00E409AF" w:rsidRPr="00031867">
              <w:rPr>
                <w:rFonts w:ascii="Times New Roman" w:hAnsi="Times New Roman" w:cs="Times New Roman"/>
                <w:sz w:val="24"/>
                <w:szCs w:val="24"/>
              </w:rPr>
              <w:t>llows institutions of higher education to issue work-study payments to students who are unable to work due to work-place closures as a lump sum or in payments similar to paychecks.</w:t>
            </w:r>
          </w:p>
        </w:tc>
      </w:tr>
      <w:tr w:rsidR="00E409AF" w:rsidRPr="00C31CBE" w:rsidTr="00563367">
        <w:tc>
          <w:tcPr>
            <w:tcW w:w="2358" w:type="dxa"/>
            <w:shd w:val="clear" w:color="auto" w:fill="auto"/>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 xml:space="preserve">506. Adjustments of Subsidized Loan Limits </w:t>
            </w:r>
          </w:p>
        </w:tc>
        <w:tc>
          <w:tcPr>
            <w:tcW w:w="11160" w:type="dxa"/>
            <w:shd w:val="clear" w:color="auto" w:fill="auto"/>
            <w:vAlign w:val="center"/>
          </w:tcPr>
          <w:p w:rsidR="00E409AF" w:rsidRPr="00C31CBE" w:rsidRDefault="00E409AF" w:rsidP="00563367">
            <w:pPr>
              <w:pStyle w:val="ListParagraph"/>
              <w:numPr>
                <w:ilvl w:val="0"/>
                <w:numId w:val="5"/>
              </w:numPr>
              <w:rPr>
                <w:rFonts w:ascii="Times New Roman" w:hAnsi="Times New Roman" w:cs="Times New Roman"/>
                <w:sz w:val="24"/>
                <w:szCs w:val="24"/>
              </w:rPr>
            </w:pPr>
            <w:r w:rsidRPr="00C31CBE">
              <w:rPr>
                <w:rFonts w:ascii="Times New Roman" w:hAnsi="Times New Roman" w:cs="Times New Roman"/>
                <w:sz w:val="24"/>
                <w:szCs w:val="24"/>
              </w:rPr>
              <w:t>For students who dropped out</w:t>
            </w:r>
            <w:r w:rsidR="00F77F24">
              <w:rPr>
                <w:rFonts w:ascii="Times New Roman" w:hAnsi="Times New Roman" w:cs="Times New Roman"/>
                <w:sz w:val="24"/>
                <w:szCs w:val="24"/>
              </w:rPr>
              <w:t xml:space="preserve"> of school as a result of COVID</w:t>
            </w:r>
            <w:r w:rsidRPr="00C31CBE">
              <w:rPr>
                <w:rFonts w:ascii="Times New Roman" w:hAnsi="Times New Roman" w:cs="Times New Roman"/>
                <w:sz w:val="24"/>
                <w:szCs w:val="24"/>
              </w:rPr>
              <w:t>-19</w:t>
            </w:r>
            <w:r w:rsidR="00F77F24">
              <w:rPr>
                <w:rFonts w:ascii="Times New Roman" w:hAnsi="Times New Roman" w:cs="Times New Roman"/>
                <w:sz w:val="24"/>
                <w:szCs w:val="24"/>
              </w:rPr>
              <w:t>, e</w:t>
            </w:r>
            <w:r w:rsidRPr="00C31CBE">
              <w:rPr>
                <w:rFonts w:ascii="Times New Roman" w:hAnsi="Times New Roman" w:cs="Times New Roman"/>
                <w:sz w:val="24"/>
                <w:szCs w:val="24"/>
              </w:rPr>
              <w:t xml:space="preserve">xcludes the term from counting toward lifetime subsidized loan eligibility. </w:t>
            </w:r>
          </w:p>
        </w:tc>
      </w:tr>
      <w:tr w:rsidR="00E409AF" w:rsidRPr="00C31CBE" w:rsidTr="00563367">
        <w:tc>
          <w:tcPr>
            <w:tcW w:w="2358" w:type="dxa"/>
            <w:shd w:val="clear" w:color="auto" w:fill="DEEAF6" w:themeFill="accent1" w:themeFillTint="33"/>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507 Exclusion from Federal Pell Grant Duration Limit</w:t>
            </w:r>
          </w:p>
        </w:tc>
        <w:tc>
          <w:tcPr>
            <w:tcW w:w="11160" w:type="dxa"/>
            <w:shd w:val="clear" w:color="auto" w:fill="DEEAF6" w:themeFill="accent1" w:themeFillTint="33"/>
            <w:vAlign w:val="center"/>
          </w:tcPr>
          <w:p w:rsidR="00E409AF" w:rsidRPr="00C31CBE" w:rsidRDefault="00E409AF" w:rsidP="00563367">
            <w:pPr>
              <w:pStyle w:val="ListParagraph"/>
              <w:numPr>
                <w:ilvl w:val="0"/>
                <w:numId w:val="5"/>
              </w:numPr>
              <w:spacing w:line="240" w:lineRule="auto"/>
              <w:rPr>
                <w:rFonts w:ascii="Times New Roman" w:hAnsi="Times New Roman" w:cs="Times New Roman"/>
                <w:sz w:val="24"/>
                <w:szCs w:val="24"/>
              </w:rPr>
            </w:pPr>
            <w:r w:rsidRPr="00C31CBE">
              <w:rPr>
                <w:rFonts w:ascii="Times New Roman" w:hAnsi="Times New Roman" w:cs="Times New Roman"/>
                <w:sz w:val="24"/>
                <w:szCs w:val="24"/>
              </w:rPr>
              <w:t>For students who dropped out of school as a result</w:t>
            </w:r>
            <w:r w:rsidR="00F77F24">
              <w:rPr>
                <w:rFonts w:ascii="Times New Roman" w:hAnsi="Times New Roman" w:cs="Times New Roman"/>
                <w:sz w:val="24"/>
                <w:szCs w:val="24"/>
              </w:rPr>
              <w:t xml:space="preserve"> of COVID</w:t>
            </w:r>
            <w:r w:rsidRPr="00C31CBE">
              <w:rPr>
                <w:rFonts w:ascii="Times New Roman" w:hAnsi="Times New Roman" w:cs="Times New Roman"/>
                <w:sz w:val="24"/>
                <w:szCs w:val="24"/>
              </w:rPr>
              <w:t>-19</w:t>
            </w:r>
            <w:r w:rsidR="00F77F24">
              <w:rPr>
                <w:rFonts w:ascii="Times New Roman" w:hAnsi="Times New Roman" w:cs="Times New Roman"/>
                <w:sz w:val="24"/>
                <w:szCs w:val="24"/>
              </w:rPr>
              <w:t xml:space="preserve">, </w:t>
            </w:r>
            <w:r w:rsidRPr="00C31CBE">
              <w:rPr>
                <w:rFonts w:ascii="Times New Roman" w:hAnsi="Times New Roman" w:cs="Times New Roman"/>
                <w:sz w:val="24"/>
                <w:szCs w:val="24"/>
              </w:rPr>
              <w:t>excludes the term from counting toward lifetime Pell eligibility.</w:t>
            </w:r>
          </w:p>
        </w:tc>
      </w:tr>
      <w:tr w:rsidR="00E409AF" w:rsidRPr="00C31CBE" w:rsidTr="00563367">
        <w:tc>
          <w:tcPr>
            <w:tcW w:w="2358" w:type="dxa"/>
            <w:shd w:val="clear" w:color="auto" w:fill="auto"/>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 xml:space="preserve">508. Institutional Refund </w:t>
            </w:r>
            <w:r w:rsidRPr="00C31CBE">
              <w:rPr>
                <w:rFonts w:ascii="Times New Roman" w:hAnsi="Times New Roman" w:cs="Times New Roman"/>
                <w:sz w:val="24"/>
                <w:szCs w:val="24"/>
              </w:rPr>
              <w:lastRenderedPageBreak/>
              <w:t>and Federal Student Loan Flexibility.</w:t>
            </w:r>
          </w:p>
          <w:p w:rsidR="00E409AF" w:rsidRPr="00C31CBE" w:rsidRDefault="00E409AF" w:rsidP="00563367">
            <w:pPr>
              <w:contextualSpacing/>
              <w:rPr>
                <w:rFonts w:ascii="Times New Roman" w:hAnsi="Times New Roman" w:cs="Times New Roman"/>
                <w:sz w:val="24"/>
                <w:szCs w:val="24"/>
              </w:rPr>
            </w:pPr>
          </w:p>
        </w:tc>
        <w:tc>
          <w:tcPr>
            <w:tcW w:w="11160" w:type="dxa"/>
            <w:shd w:val="clear" w:color="auto" w:fill="auto"/>
            <w:vAlign w:val="center"/>
          </w:tcPr>
          <w:p w:rsidR="00E409AF" w:rsidRDefault="00E409AF" w:rsidP="00563367">
            <w:pPr>
              <w:pStyle w:val="ListParagraph"/>
              <w:numPr>
                <w:ilvl w:val="0"/>
                <w:numId w:val="5"/>
              </w:numPr>
              <w:rPr>
                <w:rFonts w:ascii="Times New Roman" w:hAnsi="Times New Roman" w:cs="Times New Roman"/>
                <w:sz w:val="24"/>
                <w:szCs w:val="24"/>
              </w:rPr>
            </w:pPr>
            <w:r w:rsidRPr="00031867">
              <w:rPr>
                <w:rFonts w:ascii="Times New Roman" w:hAnsi="Times New Roman" w:cs="Times New Roman"/>
                <w:sz w:val="24"/>
                <w:szCs w:val="24"/>
              </w:rPr>
              <w:lastRenderedPageBreak/>
              <w:t>For students who dropped out</w:t>
            </w:r>
            <w:r w:rsidR="00F77F24">
              <w:rPr>
                <w:rFonts w:ascii="Times New Roman" w:hAnsi="Times New Roman" w:cs="Times New Roman"/>
                <w:sz w:val="24"/>
                <w:szCs w:val="24"/>
              </w:rPr>
              <w:t xml:space="preserve"> of school as a result of COVID-19, </w:t>
            </w:r>
            <w:r w:rsidRPr="00031867">
              <w:rPr>
                <w:rFonts w:ascii="Times New Roman" w:hAnsi="Times New Roman" w:cs="Times New Roman"/>
                <w:sz w:val="24"/>
                <w:szCs w:val="24"/>
              </w:rPr>
              <w:t xml:space="preserve">allows those students to not be required to return unused Pell Grants or federal student loans to the Secretary. </w:t>
            </w:r>
          </w:p>
          <w:p w:rsidR="00E409AF" w:rsidRDefault="00F77F24"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In addition,</w:t>
            </w:r>
            <w:r w:rsidR="00E409AF" w:rsidRPr="00031867">
              <w:rPr>
                <w:rFonts w:ascii="Times New Roman" w:hAnsi="Times New Roman" w:cs="Times New Roman"/>
                <w:sz w:val="24"/>
                <w:szCs w:val="24"/>
              </w:rPr>
              <w:t xml:space="preserve"> waives the requirement that institutions calculate the amount o</w:t>
            </w:r>
            <w:r>
              <w:rPr>
                <w:rFonts w:ascii="Times New Roman" w:hAnsi="Times New Roman" w:cs="Times New Roman"/>
                <w:sz w:val="24"/>
                <w:szCs w:val="24"/>
              </w:rPr>
              <w:t xml:space="preserve">f grant or loan assistance </w:t>
            </w:r>
            <w:r w:rsidR="00E409AF" w:rsidRPr="00031867">
              <w:rPr>
                <w:rFonts w:ascii="Times New Roman" w:hAnsi="Times New Roman" w:cs="Times New Roman"/>
                <w:sz w:val="24"/>
                <w:szCs w:val="24"/>
              </w:rPr>
              <w:t xml:space="preserve">the institution must return to the Secretary in the case of students who dropped out of school as a result of COVID-19. </w:t>
            </w:r>
          </w:p>
          <w:p w:rsidR="00E409AF" w:rsidRPr="00C31CBE" w:rsidRDefault="00F77F24"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00E409AF" w:rsidRPr="00031867">
              <w:rPr>
                <w:rFonts w:ascii="Times New Roman" w:hAnsi="Times New Roman" w:cs="Times New Roman"/>
                <w:sz w:val="24"/>
                <w:szCs w:val="24"/>
              </w:rPr>
              <w:t>ancels the portion of the student’s loan taken out for the semester (or equivalent) if a student withdrew due to COVID-19.</w:t>
            </w:r>
          </w:p>
        </w:tc>
      </w:tr>
      <w:tr w:rsidR="00E409AF" w:rsidRPr="00C31CBE" w:rsidTr="00563367">
        <w:tc>
          <w:tcPr>
            <w:tcW w:w="2358" w:type="dxa"/>
            <w:shd w:val="clear" w:color="auto" w:fill="auto"/>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lastRenderedPageBreak/>
              <w:t>Sec. 3</w:t>
            </w:r>
            <w:r w:rsidRPr="00C31CBE">
              <w:rPr>
                <w:rFonts w:ascii="Times New Roman" w:hAnsi="Times New Roman" w:cs="Times New Roman"/>
                <w:sz w:val="24"/>
                <w:szCs w:val="24"/>
              </w:rPr>
              <w:t>509</w:t>
            </w:r>
            <w:r w:rsidRPr="00C31CBE">
              <w:rPr>
                <w:rFonts w:ascii="Times New Roman" w:hAnsi="Times New Roman" w:cs="Times New Roman"/>
                <w:i/>
                <w:sz w:val="24"/>
                <w:szCs w:val="24"/>
              </w:rPr>
              <w:t xml:space="preserve">. </w:t>
            </w:r>
            <w:r w:rsidRPr="00C31CBE">
              <w:rPr>
                <w:rFonts w:ascii="Times New Roman" w:hAnsi="Times New Roman" w:cs="Times New Roman"/>
                <w:sz w:val="24"/>
                <w:szCs w:val="24"/>
              </w:rPr>
              <w:t>Satisfactory Progress</w:t>
            </w:r>
          </w:p>
        </w:tc>
        <w:tc>
          <w:tcPr>
            <w:tcW w:w="11160" w:type="dxa"/>
            <w:shd w:val="clear" w:color="auto" w:fill="auto"/>
            <w:vAlign w:val="center"/>
          </w:tcPr>
          <w:p w:rsidR="00E409AF" w:rsidRPr="00C31CBE" w:rsidRDefault="00E409AF" w:rsidP="00563367">
            <w:pPr>
              <w:pStyle w:val="ListParagraph"/>
              <w:numPr>
                <w:ilvl w:val="0"/>
                <w:numId w:val="5"/>
              </w:numPr>
              <w:rPr>
                <w:rFonts w:ascii="Times New Roman" w:hAnsi="Times New Roman" w:cs="Times New Roman"/>
                <w:sz w:val="24"/>
                <w:szCs w:val="24"/>
              </w:rPr>
            </w:pPr>
            <w:r w:rsidRPr="00031867">
              <w:rPr>
                <w:rFonts w:ascii="Times New Roman" w:hAnsi="Times New Roman" w:cs="Times New Roman"/>
                <w:sz w:val="24"/>
                <w:szCs w:val="24"/>
              </w:rPr>
              <w:t>For students who dropped out of school as a re</w:t>
            </w:r>
            <w:r w:rsidR="00F77F24">
              <w:rPr>
                <w:rFonts w:ascii="Times New Roman" w:hAnsi="Times New Roman" w:cs="Times New Roman"/>
                <w:sz w:val="24"/>
                <w:szCs w:val="24"/>
              </w:rPr>
              <w:t xml:space="preserve">sult of COVID -19, </w:t>
            </w:r>
            <w:r w:rsidRPr="00031867">
              <w:rPr>
                <w:rFonts w:ascii="Times New Roman" w:hAnsi="Times New Roman" w:cs="Times New Roman"/>
                <w:sz w:val="24"/>
                <w:szCs w:val="24"/>
              </w:rPr>
              <w:t>allows for those students’ grades to not affect a student’s federal academic requirements to continue to receive Pell Grants or student loans.</w:t>
            </w:r>
          </w:p>
        </w:tc>
      </w:tr>
      <w:tr w:rsidR="00E409AF" w:rsidRPr="00C31CBE" w:rsidTr="00563367">
        <w:tc>
          <w:tcPr>
            <w:tcW w:w="2358" w:type="dxa"/>
            <w:shd w:val="clear" w:color="auto" w:fill="DEEAF6" w:themeFill="accent1" w:themeFillTint="33"/>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510</w:t>
            </w:r>
            <w:r w:rsidRPr="00C31CBE">
              <w:rPr>
                <w:rFonts w:ascii="Times New Roman" w:hAnsi="Times New Roman" w:cs="Times New Roman"/>
                <w:i/>
                <w:sz w:val="24"/>
                <w:szCs w:val="24"/>
              </w:rPr>
              <w:t xml:space="preserve">. </w:t>
            </w:r>
            <w:r w:rsidRPr="00C31CBE">
              <w:rPr>
                <w:rFonts w:ascii="Times New Roman" w:hAnsi="Times New Roman" w:cs="Times New Roman"/>
                <w:sz w:val="24"/>
                <w:szCs w:val="24"/>
              </w:rPr>
              <w:t>Continuing Education at Affected Foreign Institutions</w:t>
            </w:r>
          </w:p>
        </w:tc>
        <w:tc>
          <w:tcPr>
            <w:tcW w:w="11160" w:type="dxa"/>
            <w:shd w:val="clear" w:color="auto" w:fill="DEEAF6" w:themeFill="accent1" w:themeFillTint="33"/>
            <w:vAlign w:val="center"/>
          </w:tcPr>
          <w:p w:rsidR="00E409AF" w:rsidRPr="00C31CBE" w:rsidRDefault="00F77F24"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w:t>
            </w:r>
            <w:r w:rsidR="00E409AF" w:rsidRPr="00031867">
              <w:rPr>
                <w:rFonts w:ascii="Times New Roman" w:hAnsi="Times New Roman" w:cs="Times New Roman"/>
                <w:sz w:val="24"/>
                <w:szCs w:val="24"/>
              </w:rPr>
              <w:t xml:space="preserve">ermits foreign institutions to offer distance education or enter into written arrangements with U.S. institutions of higher education to allow U.S. students to continue receiving student loans for the duration of the COVID-19 declaration of disaster.  </w:t>
            </w:r>
          </w:p>
        </w:tc>
      </w:tr>
      <w:tr w:rsidR="00E409AF" w:rsidRPr="00C31CBE" w:rsidTr="00563367">
        <w:tc>
          <w:tcPr>
            <w:tcW w:w="2358" w:type="dxa"/>
            <w:shd w:val="clear" w:color="auto" w:fill="auto"/>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511</w:t>
            </w:r>
            <w:r w:rsidRPr="00C31CBE">
              <w:rPr>
                <w:rFonts w:ascii="Times New Roman" w:hAnsi="Times New Roman" w:cs="Times New Roman"/>
                <w:i/>
                <w:sz w:val="24"/>
                <w:szCs w:val="24"/>
              </w:rPr>
              <w:t xml:space="preserve"> </w:t>
            </w:r>
            <w:r w:rsidRPr="00C31CBE">
              <w:rPr>
                <w:rFonts w:ascii="Times New Roman" w:hAnsi="Times New Roman" w:cs="Times New Roman"/>
                <w:sz w:val="24"/>
                <w:szCs w:val="24"/>
              </w:rPr>
              <w:t>National Emergency Educational Waivers</w:t>
            </w:r>
          </w:p>
        </w:tc>
        <w:tc>
          <w:tcPr>
            <w:tcW w:w="11160" w:type="dxa"/>
            <w:shd w:val="clear" w:color="auto" w:fill="auto"/>
            <w:vAlign w:val="center"/>
          </w:tcPr>
          <w:p w:rsidR="00E409AF" w:rsidRPr="00B12D93" w:rsidRDefault="00763835"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Overhauls</w:t>
            </w:r>
            <w:r w:rsidR="00E409AF" w:rsidRPr="00B12D93">
              <w:rPr>
                <w:rFonts w:ascii="Times New Roman" w:hAnsi="Times New Roman" w:cs="Times New Roman"/>
                <w:sz w:val="24"/>
                <w:szCs w:val="24"/>
              </w:rPr>
              <w:t xml:space="preserve"> the original CARES </w:t>
            </w:r>
            <w:r>
              <w:rPr>
                <w:rFonts w:ascii="Times New Roman" w:hAnsi="Times New Roman" w:cs="Times New Roman"/>
                <w:sz w:val="24"/>
                <w:szCs w:val="24"/>
              </w:rPr>
              <w:t xml:space="preserve">Act </w:t>
            </w:r>
            <w:r w:rsidR="00E409AF" w:rsidRPr="00B12D93">
              <w:rPr>
                <w:rFonts w:ascii="Times New Roman" w:hAnsi="Times New Roman" w:cs="Times New Roman"/>
                <w:sz w:val="24"/>
                <w:szCs w:val="24"/>
              </w:rPr>
              <w:t>proposal</w:t>
            </w:r>
            <w:r>
              <w:rPr>
                <w:rFonts w:ascii="Times New Roman" w:hAnsi="Times New Roman" w:cs="Times New Roman"/>
                <w:sz w:val="24"/>
                <w:szCs w:val="24"/>
              </w:rPr>
              <w:t xml:space="preserve"> to substantially narrow the authority provided to the Secretary of Education to waive certain</w:t>
            </w:r>
            <w:r w:rsidR="00E409AF" w:rsidRPr="00B12D93">
              <w:rPr>
                <w:rFonts w:ascii="Times New Roman" w:hAnsi="Times New Roman" w:cs="Times New Roman"/>
                <w:sz w:val="24"/>
                <w:szCs w:val="24"/>
              </w:rPr>
              <w:t xml:space="preserve"> federal education laws, including the Elementary and Secondary Education Act (ESEA), the Individuals with Disabilities Act (IDEA), and the Higher Edu</w:t>
            </w:r>
            <w:r>
              <w:rPr>
                <w:rFonts w:ascii="Times New Roman" w:hAnsi="Times New Roman" w:cs="Times New Roman"/>
                <w:sz w:val="24"/>
                <w:szCs w:val="24"/>
              </w:rPr>
              <w:t>cation Act (HEA). It r</w:t>
            </w:r>
            <w:r w:rsidR="00E409AF" w:rsidRPr="00B12D93">
              <w:rPr>
                <w:rFonts w:ascii="Times New Roman" w:hAnsi="Times New Roman" w:cs="Times New Roman"/>
                <w:sz w:val="24"/>
                <w:szCs w:val="24"/>
              </w:rPr>
              <w:t xml:space="preserve">estates what already exists under the Elementary and Secondary Education Act, and allows the Secretary limited authority to issue waivers of certain requirements of ESEA, if these waivers are requested by states or school districts. </w:t>
            </w:r>
          </w:p>
          <w:p w:rsidR="00E409AF" w:rsidRPr="00B12D93" w:rsidRDefault="00F77F24"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w:t>
            </w:r>
            <w:r w:rsidR="00763835">
              <w:rPr>
                <w:rFonts w:ascii="Times New Roman" w:hAnsi="Times New Roman" w:cs="Times New Roman"/>
                <w:sz w:val="24"/>
                <w:szCs w:val="24"/>
              </w:rPr>
              <w:t xml:space="preserve">irects the Secretary of Education </w:t>
            </w:r>
            <w:r w:rsidR="00E409AF" w:rsidRPr="00B12D93">
              <w:rPr>
                <w:rFonts w:ascii="Times New Roman" w:hAnsi="Times New Roman" w:cs="Times New Roman"/>
                <w:sz w:val="24"/>
                <w:szCs w:val="24"/>
              </w:rPr>
              <w:t xml:space="preserve">to create a streamlined process for waiver applications of certain ESEA topics including assessments, school identification, and reporting requirements linked to those assessments, for this academic year only. </w:t>
            </w:r>
          </w:p>
          <w:p w:rsidR="00E409AF" w:rsidRPr="00B12D93" w:rsidRDefault="00F77F24"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w:t>
            </w:r>
            <w:r w:rsidR="00E409AF" w:rsidRPr="00B12D93">
              <w:rPr>
                <w:rFonts w:ascii="Times New Roman" w:hAnsi="Times New Roman" w:cs="Times New Roman"/>
                <w:sz w:val="24"/>
                <w:szCs w:val="24"/>
              </w:rPr>
              <w:t xml:space="preserve">ovides </w:t>
            </w:r>
            <w:r w:rsidR="00763835">
              <w:rPr>
                <w:rFonts w:ascii="Times New Roman" w:hAnsi="Times New Roman" w:cs="Times New Roman"/>
                <w:sz w:val="24"/>
                <w:szCs w:val="24"/>
              </w:rPr>
              <w:t>the Secretary of Education</w:t>
            </w:r>
            <w:r w:rsidR="00E409AF" w:rsidRPr="00B12D93">
              <w:rPr>
                <w:rFonts w:ascii="Times New Roman" w:hAnsi="Times New Roman" w:cs="Times New Roman"/>
                <w:sz w:val="24"/>
                <w:szCs w:val="24"/>
              </w:rPr>
              <w:t xml:space="preserve"> with the authority to issue targeted waivers of other requirements, including the ability for federal education grantees to spend their federal dollars over longer periods of time, for this academic year only. </w:t>
            </w:r>
          </w:p>
          <w:p w:rsidR="00E409AF" w:rsidRPr="00C31CBE" w:rsidRDefault="00F77F24"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w:t>
            </w:r>
            <w:r w:rsidR="00E409AF" w:rsidRPr="00B12D93">
              <w:rPr>
                <w:rFonts w:ascii="Times New Roman" w:hAnsi="Times New Roman" w:cs="Times New Roman"/>
                <w:sz w:val="24"/>
                <w:szCs w:val="24"/>
              </w:rPr>
              <w:t xml:space="preserve">equires the Department of Education to issue a report with any recommendations for additional waivers that may be needed under the Elementary and Secondary Education Act, the Carl Perkins Career and Technical Education Act, IDEA, and the Rehabilitation Act of 1973. </w:t>
            </w:r>
          </w:p>
        </w:tc>
      </w:tr>
      <w:tr w:rsidR="00E409AF" w:rsidRPr="00C31CBE" w:rsidTr="00563367">
        <w:tc>
          <w:tcPr>
            <w:tcW w:w="2358" w:type="dxa"/>
            <w:shd w:val="clear" w:color="auto" w:fill="DEEAF6" w:themeFill="accent1" w:themeFillTint="33"/>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512. HBCU Capital Financing Program</w:t>
            </w:r>
          </w:p>
        </w:tc>
        <w:tc>
          <w:tcPr>
            <w:tcW w:w="11160" w:type="dxa"/>
            <w:shd w:val="clear" w:color="auto" w:fill="DEEAF6" w:themeFill="accent1" w:themeFillTint="33"/>
            <w:vAlign w:val="center"/>
          </w:tcPr>
          <w:p w:rsidR="00E409AF" w:rsidRPr="00C31CBE" w:rsidRDefault="00F77F24"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00E409AF" w:rsidRPr="00B12D93">
              <w:rPr>
                <w:rFonts w:ascii="Times New Roman" w:hAnsi="Times New Roman" w:cs="Times New Roman"/>
                <w:sz w:val="24"/>
                <w:szCs w:val="24"/>
              </w:rPr>
              <w:t>uthorizes the Secretary of Education to defer payments on current HBCU Capital Financing loans during the national emergency period to allow HBCUs to devote financial resources to COVID-19 efforts.</w:t>
            </w:r>
          </w:p>
        </w:tc>
      </w:tr>
      <w:tr w:rsidR="00E409AF" w:rsidRPr="008C5920" w:rsidTr="00563367">
        <w:tc>
          <w:tcPr>
            <w:tcW w:w="2358" w:type="dxa"/>
            <w:shd w:val="clear" w:color="auto" w:fill="auto"/>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lastRenderedPageBreak/>
              <w:t>Sec. 3</w:t>
            </w:r>
            <w:r w:rsidRPr="00C31CBE">
              <w:rPr>
                <w:rFonts w:ascii="Times New Roman" w:hAnsi="Times New Roman" w:cs="Times New Roman"/>
                <w:sz w:val="24"/>
                <w:szCs w:val="24"/>
              </w:rPr>
              <w:t>513 Temporary Relief for Federal Student Loan Borrowers</w:t>
            </w:r>
          </w:p>
        </w:tc>
        <w:tc>
          <w:tcPr>
            <w:tcW w:w="11160" w:type="dxa"/>
            <w:shd w:val="clear" w:color="auto" w:fill="auto"/>
            <w:vAlign w:val="center"/>
          </w:tcPr>
          <w:p w:rsidR="00E409AF" w:rsidRDefault="00F77F24"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00E409AF" w:rsidRPr="00B12D93">
              <w:rPr>
                <w:rFonts w:ascii="Times New Roman" w:hAnsi="Times New Roman" w:cs="Times New Roman"/>
                <w:sz w:val="24"/>
                <w:szCs w:val="24"/>
              </w:rPr>
              <w:t xml:space="preserve">ancels payments for all federal student loan borrowers with federally-held loans (Direct Loans and FFEL loans that are held by the U.S. Department of Education) through September 30, 2020, meaning such borrowers will not be required to make any payments toward outstanding interest or principal. </w:t>
            </w:r>
          </w:p>
          <w:p w:rsidR="00E409AF" w:rsidRDefault="00124981"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Suspends i</w:t>
            </w:r>
            <w:r w:rsidR="00E409AF" w:rsidRPr="00B12D93">
              <w:rPr>
                <w:rFonts w:ascii="Times New Roman" w:hAnsi="Times New Roman" w:cs="Times New Roman"/>
                <w:sz w:val="24"/>
                <w:szCs w:val="24"/>
              </w:rPr>
              <w:t>nt</w:t>
            </w:r>
            <w:r>
              <w:rPr>
                <w:rFonts w:ascii="Times New Roman" w:hAnsi="Times New Roman" w:cs="Times New Roman"/>
                <w:sz w:val="24"/>
                <w:szCs w:val="24"/>
              </w:rPr>
              <w:t xml:space="preserve">erest accrual </w:t>
            </w:r>
            <w:r w:rsidR="00E409AF" w:rsidRPr="00B12D93">
              <w:rPr>
                <w:rFonts w:ascii="Times New Roman" w:hAnsi="Times New Roman" w:cs="Times New Roman"/>
                <w:sz w:val="24"/>
                <w:szCs w:val="24"/>
              </w:rPr>
              <w:t xml:space="preserve">for such loans, meaning balances for such borrowers will not grow. </w:t>
            </w:r>
          </w:p>
          <w:p w:rsidR="00E409AF" w:rsidRDefault="00F77F24"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w:t>
            </w:r>
            <w:r w:rsidR="00E409AF" w:rsidRPr="00B12D93">
              <w:rPr>
                <w:rFonts w:ascii="Times New Roman" w:hAnsi="Times New Roman" w:cs="Times New Roman"/>
                <w:sz w:val="24"/>
                <w:szCs w:val="24"/>
              </w:rPr>
              <w:t xml:space="preserve">rohibits forced collections such as garnishment of wages, tax refunds, and Social Security benefits; and negative credit reporting during this time period. </w:t>
            </w:r>
          </w:p>
          <w:p w:rsidR="00E409AF" w:rsidRPr="00B12D93" w:rsidRDefault="00F77F24"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Directs student borrowers </w:t>
            </w:r>
            <w:r w:rsidR="00E409AF" w:rsidRPr="00B12D93">
              <w:rPr>
                <w:rFonts w:ascii="Times New Roman" w:hAnsi="Times New Roman" w:cs="Times New Roman"/>
                <w:sz w:val="24"/>
                <w:szCs w:val="24"/>
              </w:rPr>
              <w:t xml:space="preserve">continue to receive credit toward Public Service Loan Forgiveness, Income-Driven Repayment forgiveness, and loan rehabilitation.  </w:t>
            </w:r>
          </w:p>
          <w:p w:rsidR="00E409AF" w:rsidRPr="008C5920" w:rsidRDefault="00E409AF" w:rsidP="00563367">
            <w:pPr>
              <w:pStyle w:val="ListParagraph"/>
              <w:numPr>
                <w:ilvl w:val="0"/>
                <w:numId w:val="5"/>
              </w:numPr>
              <w:spacing w:after="0" w:line="240" w:lineRule="auto"/>
              <w:rPr>
                <w:rFonts w:ascii="Times New Roman" w:hAnsi="Times New Roman" w:cs="Times New Roman"/>
                <w:sz w:val="24"/>
                <w:szCs w:val="24"/>
              </w:rPr>
            </w:pPr>
            <w:r w:rsidRPr="00B12D93">
              <w:rPr>
                <w:rFonts w:ascii="Times New Roman" w:hAnsi="Times New Roman" w:cs="Times New Roman"/>
                <w:sz w:val="24"/>
                <w:szCs w:val="24"/>
              </w:rPr>
              <w:t xml:space="preserve">Starting in August, </w:t>
            </w:r>
            <w:r w:rsidR="00F77F24">
              <w:rPr>
                <w:rFonts w:ascii="Times New Roman" w:hAnsi="Times New Roman" w:cs="Times New Roman"/>
                <w:sz w:val="24"/>
                <w:szCs w:val="24"/>
              </w:rPr>
              <w:t xml:space="preserve">requires student loan borrowers to </w:t>
            </w:r>
            <w:r w:rsidRPr="00B12D93">
              <w:rPr>
                <w:rFonts w:ascii="Times New Roman" w:hAnsi="Times New Roman" w:cs="Times New Roman"/>
                <w:sz w:val="24"/>
                <w:szCs w:val="24"/>
              </w:rPr>
              <w:t xml:space="preserve">receive notices to help inform them that their regular loan payments will resume at the end of September. These notices are intended to provide a transition period to help borrowers stay on track as regular loan payments begin again and to enroll in other relief options (such as income-driven repayment) at such time.  </w:t>
            </w:r>
          </w:p>
        </w:tc>
      </w:tr>
      <w:tr w:rsidR="00E409AF" w:rsidRPr="00C31CBE" w:rsidTr="00563367">
        <w:tc>
          <w:tcPr>
            <w:tcW w:w="2358" w:type="dxa"/>
            <w:shd w:val="clear" w:color="auto" w:fill="DEEAF6" w:themeFill="accent1" w:themeFillTint="33"/>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514. Provisions Related to the Corporation for National and Community Service</w:t>
            </w:r>
          </w:p>
        </w:tc>
        <w:tc>
          <w:tcPr>
            <w:tcW w:w="11160" w:type="dxa"/>
            <w:shd w:val="clear" w:color="auto" w:fill="DEEAF6" w:themeFill="accent1" w:themeFillTint="33"/>
            <w:vAlign w:val="center"/>
          </w:tcPr>
          <w:p w:rsidR="00E409AF" w:rsidRDefault="00F77F24" w:rsidP="00563367">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P</w:t>
            </w:r>
            <w:r w:rsidR="00E409AF" w:rsidRPr="00B12D93">
              <w:rPr>
                <w:rFonts w:ascii="Times New Roman" w:hAnsi="Times New Roman" w:cs="Times New Roman"/>
                <w:sz w:val="24"/>
                <w:szCs w:val="24"/>
              </w:rPr>
              <w:t xml:space="preserve">rovides additional flexibilities to the Corporation for National and Community Services. It provides participants serving in the National Service Corps programs with the educational award they were due to receive before their duties had been suspended or placed on hold during the COVID-19 declaration of disaster. </w:t>
            </w:r>
          </w:p>
          <w:p w:rsidR="00E409AF" w:rsidRDefault="00F77F24" w:rsidP="00563367">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E</w:t>
            </w:r>
            <w:r w:rsidR="00E409AF" w:rsidRPr="00B12D93">
              <w:rPr>
                <w:rFonts w:ascii="Times New Roman" w:hAnsi="Times New Roman" w:cs="Times New Roman"/>
                <w:sz w:val="24"/>
                <w:szCs w:val="24"/>
              </w:rPr>
              <w:t xml:space="preserve">xtends the age limits and the terms of service to allow individuals serving in national service programs to continue participating in programs after the COVID-19 declaration of disaster ends. </w:t>
            </w:r>
          </w:p>
          <w:p w:rsidR="00E409AF" w:rsidRDefault="00F77F24" w:rsidP="00563367">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P</w:t>
            </w:r>
            <w:r w:rsidR="00E409AF" w:rsidRPr="00B12D93">
              <w:rPr>
                <w:rFonts w:ascii="Times New Roman" w:hAnsi="Times New Roman" w:cs="Times New Roman"/>
                <w:sz w:val="24"/>
                <w:szCs w:val="24"/>
              </w:rPr>
              <w:t xml:space="preserve">ermits fixed-amount grant recipients to maintain a pro rata amount of grant funds for participants who exited or are serving in a limited capacity due to COVID-19. </w:t>
            </w:r>
          </w:p>
          <w:p w:rsidR="00E409AF" w:rsidRPr="00C31CBE" w:rsidRDefault="00F77F24" w:rsidP="00563367">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P</w:t>
            </w:r>
            <w:r w:rsidR="00E409AF" w:rsidRPr="00B12D93">
              <w:rPr>
                <w:rFonts w:ascii="Times New Roman" w:hAnsi="Times New Roman" w:cs="Times New Roman"/>
                <w:sz w:val="24"/>
                <w:szCs w:val="24"/>
              </w:rPr>
              <w:t>ermits CNCS to carry over funds that have not been expended till September 30, 2021.</w:t>
            </w:r>
          </w:p>
        </w:tc>
      </w:tr>
      <w:tr w:rsidR="00E409AF" w:rsidRPr="00C31CBE" w:rsidTr="00563367">
        <w:tc>
          <w:tcPr>
            <w:tcW w:w="2358" w:type="dxa"/>
            <w:shd w:val="clear" w:color="auto" w:fill="auto"/>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515. Workforce Response Activities.</w:t>
            </w:r>
          </w:p>
        </w:tc>
        <w:tc>
          <w:tcPr>
            <w:tcW w:w="11160" w:type="dxa"/>
            <w:shd w:val="clear" w:color="auto" w:fill="auto"/>
            <w:vAlign w:val="center"/>
          </w:tcPr>
          <w:p w:rsidR="00E409AF" w:rsidRDefault="00763835"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w:t>
            </w:r>
            <w:r w:rsidR="00E409AF" w:rsidRPr="00B12D93">
              <w:rPr>
                <w:rFonts w:ascii="Times New Roman" w:hAnsi="Times New Roman" w:cs="Times New Roman"/>
                <w:sz w:val="24"/>
                <w:szCs w:val="24"/>
              </w:rPr>
              <w:t xml:space="preserve">rovides local workforce boards with additional flexibility to use funds received under the Workforce Innovation and Opportunity Act for increased administrative costs in response to COVID-19 by raising the existing cap from 10 percent to 20 percent. </w:t>
            </w:r>
          </w:p>
          <w:p w:rsidR="00E409AF" w:rsidRPr="00B12D93" w:rsidRDefault="00763835" w:rsidP="005633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Allows Governors to us</w:t>
            </w:r>
            <w:r w:rsidR="00E409AF" w:rsidRPr="00B12D93">
              <w:rPr>
                <w:rFonts w:ascii="Times New Roman" w:hAnsi="Times New Roman" w:cs="Times New Roman"/>
                <w:sz w:val="24"/>
                <w:szCs w:val="24"/>
              </w:rPr>
              <w:t xml:space="preserve">e reserved workforce funds on rapid response activities in response to COVID-19.   </w:t>
            </w:r>
          </w:p>
        </w:tc>
      </w:tr>
      <w:tr w:rsidR="00E409AF" w:rsidRPr="00C31CBE" w:rsidTr="00563367">
        <w:tc>
          <w:tcPr>
            <w:tcW w:w="2358" w:type="dxa"/>
            <w:shd w:val="clear" w:color="auto" w:fill="DEEAF6" w:themeFill="accent1" w:themeFillTint="33"/>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516 Technical Amendments</w:t>
            </w:r>
          </w:p>
        </w:tc>
        <w:tc>
          <w:tcPr>
            <w:tcW w:w="11160" w:type="dxa"/>
            <w:shd w:val="clear" w:color="auto" w:fill="DEEAF6" w:themeFill="accent1" w:themeFillTint="33"/>
            <w:vAlign w:val="center"/>
          </w:tcPr>
          <w:p w:rsidR="00E409AF" w:rsidRPr="00C31CBE" w:rsidRDefault="00763835" w:rsidP="0056336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w:t>
            </w:r>
            <w:r w:rsidR="00E409AF" w:rsidRPr="00B12D93">
              <w:rPr>
                <w:rFonts w:ascii="Times New Roman" w:hAnsi="Times New Roman" w:cs="Times New Roman"/>
                <w:sz w:val="24"/>
                <w:szCs w:val="24"/>
              </w:rPr>
              <w:t xml:space="preserve">akes technical corrections to the FUTURE Act (Public Law No: 116-91) to </w:t>
            </w:r>
            <w:r>
              <w:rPr>
                <w:rFonts w:ascii="Times New Roman" w:hAnsi="Times New Roman" w:cs="Times New Roman"/>
                <w:sz w:val="24"/>
                <w:szCs w:val="24"/>
              </w:rPr>
              <w:t xml:space="preserve">better </w:t>
            </w:r>
            <w:r w:rsidR="00E409AF" w:rsidRPr="00B12D93">
              <w:rPr>
                <w:rFonts w:ascii="Times New Roman" w:hAnsi="Times New Roman" w:cs="Times New Roman"/>
                <w:sz w:val="24"/>
                <w:szCs w:val="24"/>
              </w:rPr>
              <w:t xml:space="preserve">ensure </w:t>
            </w:r>
            <w:r>
              <w:rPr>
                <w:rFonts w:ascii="Times New Roman" w:hAnsi="Times New Roman" w:cs="Times New Roman"/>
                <w:sz w:val="24"/>
                <w:szCs w:val="24"/>
              </w:rPr>
              <w:t xml:space="preserve">implementation by </w:t>
            </w:r>
            <w:r w:rsidR="00E409AF" w:rsidRPr="00B12D93">
              <w:rPr>
                <w:rFonts w:ascii="Times New Roman" w:hAnsi="Times New Roman" w:cs="Times New Roman"/>
                <w:sz w:val="24"/>
                <w:szCs w:val="24"/>
              </w:rPr>
              <w:t>institutions of higher education, state agencies, and certain scholarship-granting organizations.</w:t>
            </w:r>
          </w:p>
        </w:tc>
      </w:tr>
    </w:tbl>
    <w:p w:rsidR="00E409AF" w:rsidRDefault="00E409AF" w:rsidP="00E409AF"/>
    <w:tbl>
      <w:tblPr>
        <w:tblStyle w:val="TableGrid"/>
        <w:tblW w:w="13518" w:type="dxa"/>
        <w:tblInd w:w="-113" w:type="dxa"/>
        <w:tblLook w:val="04A0" w:firstRow="1" w:lastRow="0" w:firstColumn="1" w:lastColumn="0" w:noHBand="0" w:noVBand="1"/>
      </w:tblPr>
      <w:tblGrid>
        <w:gridCol w:w="2358"/>
        <w:gridCol w:w="11160"/>
      </w:tblGrid>
      <w:tr w:rsidR="00E409AF" w:rsidRPr="00C31CBE" w:rsidTr="00563367">
        <w:tc>
          <w:tcPr>
            <w:tcW w:w="2358" w:type="dxa"/>
            <w:shd w:val="clear" w:color="auto" w:fill="auto"/>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517</w:t>
            </w:r>
            <w:r w:rsidRPr="00C31CBE">
              <w:rPr>
                <w:rFonts w:ascii="Times New Roman" w:hAnsi="Times New Roman" w:cs="Times New Roman"/>
                <w:i/>
                <w:sz w:val="24"/>
                <w:szCs w:val="24"/>
              </w:rPr>
              <w:t xml:space="preserve">. </w:t>
            </w:r>
            <w:r w:rsidRPr="00C31CBE">
              <w:rPr>
                <w:rFonts w:ascii="Times New Roman" w:hAnsi="Times New Roman" w:cs="Times New Roman"/>
                <w:sz w:val="24"/>
                <w:szCs w:val="24"/>
              </w:rPr>
              <w:t xml:space="preserve">Waiver Authority and </w:t>
            </w:r>
            <w:r w:rsidRPr="00C31CBE">
              <w:rPr>
                <w:rFonts w:ascii="Times New Roman" w:hAnsi="Times New Roman" w:cs="Times New Roman"/>
                <w:sz w:val="24"/>
                <w:szCs w:val="24"/>
              </w:rPr>
              <w:lastRenderedPageBreak/>
              <w:t>Reporting Requirements for Institutional Aid</w:t>
            </w:r>
          </w:p>
        </w:tc>
        <w:tc>
          <w:tcPr>
            <w:tcW w:w="11160" w:type="dxa"/>
            <w:shd w:val="clear" w:color="auto" w:fill="auto"/>
            <w:vAlign w:val="center"/>
          </w:tcPr>
          <w:p w:rsidR="00E409AF" w:rsidRDefault="004E5BED" w:rsidP="00563367">
            <w:pPr>
              <w:pStyle w:val="paragraph"/>
              <w:numPr>
                <w:ilvl w:val="0"/>
                <w:numId w:val="11"/>
              </w:numPr>
              <w:spacing w:before="0" w:beforeAutospacing="0" w:after="0" w:afterAutospacing="0"/>
              <w:textAlignment w:val="baseline"/>
              <w:rPr>
                <w:rStyle w:val="normaltextrun"/>
              </w:rPr>
            </w:pPr>
            <w:r>
              <w:rPr>
                <w:rStyle w:val="normaltextrun"/>
              </w:rPr>
              <w:lastRenderedPageBreak/>
              <w:t>A</w:t>
            </w:r>
            <w:r w:rsidR="00E409AF">
              <w:rPr>
                <w:rStyle w:val="normaltextrun"/>
              </w:rPr>
              <w:t xml:space="preserve">uthorizes the Secretary </w:t>
            </w:r>
            <w:r>
              <w:rPr>
                <w:rStyle w:val="normaltextrun"/>
              </w:rPr>
              <w:t xml:space="preserve">of Education </w:t>
            </w:r>
            <w:r w:rsidR="00E409AF">
              <w:rPr>
                <w:rStyle w:val="normaltextrun"/>
              </w:rPr>
              <w:t>to waive certain data and allotment requirements for FY2020 and FY2021 grant programs for HBCUs, tribal colleges and other Minority Serving Institutions, and under-</w:t>
            </w:r>
            <w:r w:rsidR="00E409AF">
              <w:rPr>
                <w:rStyle w:val="normaltextrun"/>
              </w:rPr>
              <w:lastRenderedPageBreak/>
              <w:t>resourced colleges under the Strengthening Institutions Program to ensure those colleges’ funding streams are not adversely affected by COVID-19. </w:t>
            </w:r>
          </w:p>
          <w:p w:rsidR="00E409AF" w:rsidRDefault="004E5BED" w:rsidP="00563367">
            <w:pPr>
              <w:pStyle w:val="paragraph"/>
              <w:numPr>
                <w:ilvl w:val="0"/>
                <w:numId w:val="11"/>
              </w:numPr>
              <w:spacing w:before="0" w:beforeAutospacing="0" w:after="0" w:afterAutospacing="0"/>
              <w:textAlignment w:val="baseline"/>
              <w:rPr>
                <w:rStyle w:val="eop"/>
              </w:rPr>
            </w:pPr>
            <w:r>
              <w:rPr>
                <w:rStyle w:val="normaltextrun"/>
              </w:rPr>
              <w:t>G</w:t>
            </w:r>
            <w:r w:rsidR="00E409AF">
              <w:rPr>
                <w:rStyle w:val="normaltextrun"/>
              </w:rPr>
              <w:t>rants institutions flexibility to carry over unexpended funds.</w:t>
            </w:r>
            <w:r w:rsidR="00E409AF">
              <w:rPr>
                <w:rStyle w:val="eop"/>
              </w:rPr>
              <w:t> </w:t>
            </w:r>
          </w:p>
          <w:p w:rsidR="00E409AF" w:rsidRPr="00C31CBE" w:rsidRDefault="00E409AF" w:rsidP="00563367">
            <w:pPr>
              <w:pStyle w:val="ListParagraph"/>
              <w:spacing w:line="240" w:lineRule="auto"/>
              <w:ind w:left="360"/>
              <w:rPr>
                <w:rFonts w:ascii="Times New Roman" w:hAnsi="Times New Roman" w:cs="Times New Roman"/>
                <w:sz w:val="24"/>
                <w:szCs w:val="24"/>
              </w:rPr>
            </w:pPr>
          </w:p>
        </w:tc>
      </w:tr>
      <w:tr w:rsidR="00E409AF" w:rsidRPr="00C31CBE" w:rsidTr="00563367">
        <w:tc>
          <w:tcPr>
            <w:tcW w:w="2358" w:type="dxa"/>
            <w:shd w:val="clear" w:color="auto" w:fill="DEEAF6" w:themeFill="accent1" w:themeFillTint="33"/>
            <w:vAlign w:val="center"/>
          </w:tcPr>
          <w:p w:rsidR="00E409AF" w:rsidRPr="00C31CBE" w:rsidRDefault="00E409AF" w:rsidP="00563367">
            <w:pPr>
              <w:rPr>
                <w:rFonts w:ascii="Times New Roman" w:hAnsi="Times New Roman" w:cs="Times New Roman"/>
                <w:i/>
                <w:sz w:val="24"/>
                <w:szCs w:val="24"/>
              </w:rPr>
            </w:pPr>
            <w:r>
              <w:rPr>
                <w:rFonts w:ascii="Times New Roman" w:hAnsi="Times New Roman" w:cs="Times New Roman"/>
                <w:sz w:val="24"/>
                <w:szCs w:val="24"/>
              </w:rPr>
              <w:lastRenderedPageBreak/>
              <w:t>Sec. 3</w:t>
            </w:r>
            <w:r w:rsidRPr="00C31CBE">
              <w:rPr>
                <w:rFonts w:ascii="Times New Roman" w:hAnsi="Times New Roman" w:cs="Times New Roman"/>
                <w:sz w:val="24"/>
                <w:szCs w:val="24"/>
              </w:rPr>
              <w:t>518</w:t>
            </w:r>
            <w:r w:rsidRPr="00C31CBE">
              <w:rPr>
                <w:rFonts w:ascii="Times New Roman" w:hAnsi="Times New Roman" w:cs="Times New Roman"/>
                <w:i/>
                <w:sz w:val="24"/>
                <w:szCs w:val="24"/>
              </w:rPr>
              <w:t xml:space="preserve"> </w:t>
            </w:r>
            <w:r w:rsidRPr="00C31CBE">
              <w:rPr>
                <w:rFonts w:ascii="Times New Roman" w:hAnsi="Times New Roman" w:cs="Times New Roman"/>
                <w:sz w:val="24"/>
                <w:szCs w:val="24"/>
              </w:rPr>
              <w:t>Authorized Uses and Other Modifications for Grants</w:t>
            </w:r>
          </w:p>
          <w:p w:rsidR="00E409AF" w:rsidRPr="00C31CBE" w:rsidRDefault="00E409AF" w:rsidP="00563367">
            <w:pPr>
              <w:contextualSpacing/>
              <w:rPr>
                <w:rFonts w:ascii="Times New Roman" w:hAnsi="Times New Roman" w:cs="Times New Roman"/>
                <w:sz w:val="24"/>
                <w:szCs w:val="24"/>
              </w:rPr>
            </w:pPr>
          </w:p>
        </w:tc>
        <w:tc>
          <w:tcPr>
            <w:tcW w:w="11160" w:type="dxa"/>
            <w:shd w:val="clear" w:color="auto" w:fill="DEEAF6" w:themeFill="accent1" w:themeFillTint="33"/>
            <w:vAlign w:val="center"/>
          </w:tcPr>
          <w:p w:rsidR="00E409AF" w:rsidRDefault="004E5BED" w:rsidP="00563367">
            <w:pPr>
              <w:pStyle w:val="paragraph"/>
              <w:numPr>
                <w:ilvl w:val="0"/>
                <w:numId w:val="11"/>
              </w:numPr>
              <w:spacing w:before="0" w:beforeAutospacing="0" w:after="0" w:afterAutospacing="0"/>
              <w:textAlignment w:val="baseline"/>
              <w:rPr>
                <w:rStyle w:val="normaltextrun"/>
              </w:rPr>
            </w:pPr>
            <w:r>
              <w:rPr>
                <w:rStyle w:val="normaltextrun"/>
              </w:rPr>
              <w:t>A</w:t>
            </w:r>
            <w:r w:rsidR="00E409AF">
              <w:rPr>
                <w:rStyle w:val="normaltextrun"/>
              </w:rPr>
              <w:t>uthorizes the Secretary to modify current allowable uses of funds for institutional grant programs (TRIO, GEAR UP, and HBCU and MSI programs in Titles III, V, and VII), upon the institution’s request, to allow colleges the flexibility to re-deploy resources and services to COVID-19 efforts. </w:t>
            </w:r>
          </w:p>
          <w:p w:rsidR="00E409AF" w:rsidRDefault="004E5BED" w:rsidP="00563367">
            <w:pPr>
              <w:pStyle w:val="paragraph"/>
              <w:numPr>
                <w:ilvl w:val="0"/>
                <w:numId w:val="11"/>
              </w:numPr>
              <w:spacing w:before="0" w:beforeAutospacing="0" w:after="0" w:afterAutospacing="0"/>
              <w:textAlignment w:val="baseline"/>
              <w:rPr>
                <w:rStyle w:val="eop"/>
              </w:rPr>
            </w:pPr>
            <w:r>
              <w:rPr>
                <w:rStyle w:val="normaltextrun"/>
              </w:rPr>
              <w:t>P</w:t>
            </w:r>
            <w:r w:rsidR="00E409AF">
              <w:rPr>
                <w:rStyle w:val="normaltextrun"/>
              </w:rPr>
              <w:t>ermits institutions to request from the Secretary waivers for financial matching requirements in competitive grant programs and other MSI grant programs in the Higher Education Act to allow colleges to devote institutional resources to COVID-19 efforts.</w:t>
            </w:r>
            <w:r w:rsidR="00E409AF">
              <w:rPr>
                <w:rStyle w:val="eop"/>
              </w:rPr>
              <w:t> </w:t>
            </w:r>
          </w:p>
          <w:p w:rsidR="00E409AF" w:rsidRPr="00DD5C3F" w:rsidRDefault="00E409AF" w:rsidP="00563367">
            <w:pPr>
              <w:rPr>
                <w:rFonts w:ascii="Times New Roman" w:hAnsi="Times New Roman" w:cs="Times New Roman"/>
                <w:sz w:val="24"/>
                <w:szCs w:val="24"/>
              </w:rPr>
            </w:pPr>
          </w:p>
        </w:tc>
      </w:tr>
      <w:tr w:rsidR="00E409AF" w:rsidRPr="00C31CBE" w:rsidTr="00563367">
        <w:tc>
          <w:tcPr>
            <w:tcW w:w="2358" w:type="dxa"/>
            <w:shd w:val="clear" w:color="auto" w:fill="auto"/>
            <w:vAlign w:val="center"/>
          </w:tcPr>
          <w:p w:rsidR="00E409AF" w:rsidRPr="00C31CBE" w:rsidRDefault="00E409AF" w:rsidP="00563367">
            <w:pPr>
              <w:contextualSpacing/>
              <w:rPr>
                <w:rFonts w:ascii="Times New Roman" w:hAnsi="Times New Roman" w:cs="Times New Roman"/>
                <w:sz w:val="24"/>
                <w:szCs w:val="24"/>
              </w:rPr>
            </w:pPr>
            <w:r>
              <w:rPr>
                <w:rFonts w:ascii="Times New Roman" w:hAnsi="Times New Roman" w:cs="Times New Roman"/>
                <w:sz w:val="24"/>
                <w:szCs w:val="24"/>
              </w:rPr>
              <w:t>Sec. 3</w:t>
            </w:r>
            <w:r w:rsidRPr="00C31CBE">
              <w:rPr>
                <w:rFonts w:ascii="Times New Roman" w:hAnsi="Times New Roman" w:cs="Times New Roman"/>
                <w:sz w:val="24"/>
                <w:szCs w:val="24"/>
              </w:rPr>
              <w:t>519</w:t>
            </w:r>
            <w:r w:rsidRPr="00C31CBE">
              <w:rPr>
                <w:rFonts w:ascii="Times New Roman" w:hAnsi="Times New Roman" w:cs="Times New Roman"/>
                <w:i/>
                <w:sz w:val="24"/>
                <w:szCs w:val="24"/>
              </w:rPr>
              <w:t xml:space="preserve">. </w:t>
            </w:r>
            <w:r w:rsidRPr="00C31CBE">
              <w:rPr>
                <w:rFonts w:ascii="Times New Roman" w:hAnsi="Times New Roman" w:cs="Times New Roman"/>
                <w:sz w:val="24"/>
                <w:szCs w:val="24"/>
              </w:rPr>
              <w:t>Service Obligation to Teachers</w:t>
            </w:r>
          </w:p>
        </w:tc>
        <w:tc>
          <w:tcPr>
            <w:tcW w:w="11160" w:type="dxa"/>
            <w:shd w:val="clear" w:color="auto" w:fill="auto"/>
            <w:vAlign w:val="center"/>
          </w:tcPr>
          <w:p w:rsidR="00E409AF" w:rsidRDefault="00E409AF" w:rsidP="00563367">
            <w:pPr>
              <w:pStyle w:val="paragraph"/>
              <w:numPr>
                <w:ilvl w:val="0"/>
                <w:numId w:val="12"/>
              </w:numPr>
              <w:spacing w:before="0" w:beforeAutospacing="0" w:after="0" w:afterAutospacing="0"/>
              <w:textAlignment w:val="baseline"/>
              <w:rPr>
                <w:rStyle w:val="normaltextrun"/>
              </w:rPr>
            </w:pPr>
            <w:r>
              <w:rPr>
                <w:rStyle w:val="normaltextrun"/>
              </w:rPr>
              <w:t>For teachers who could not finish a full year of teaching servic</w:t>
            </w:r>
            <w:r w:rsidR="004E5BED">
              <w:rPr>
                <w:rStyle w:val="normaltextrun"/>
              </w:rPr>
              <w:t xml:space="preserve">e due to COVID-19, </w:t>
            </w:r>
            <w:r>
              <w:rPr>
                <w:rStyle w:val="normaltextrun"/>
              </w:rPr>
              <w:t xml:space="preserve">allows their partial year of service to be counted as a full year of service toward TEACH Grant obligations or Teacher Loan Forgiveness. </w:t>
            </w:r>
          </w:p>
          <w:p w:rsidR="00E409AF" w:rsidRPr="00114FE8" w:rsidRDefault="00124981" w:rsidP="00563367">
            <w:pPr>
              <w:pStyle w:val="paragraph"/>
              <w:numPr>
                <w:ilvl w:val="0"/>
                <w:numId w:val="12"/>
              </w:numPr>
              <w:spacing w:before="0" w:beforeAutospacing="0" w:after="0" w:afterAutospacing="0"/>
              <w:textAlignment w:val="baseline"/>
              <w:rPr>
                <w:rFonts w:ascii="Segoe UI" w:hAnsi="Segoe UI" w:cs="Segoe UI"/>
                <w:sz w:val="18"/>
                <w:szCs w:val="18"/>
              </w:rPr>
            </w:pPr>
            <w:r>
              <w:rPr>
                <w:rStyle w:val="normaltextrun"/>
              </w:rPr>
              <w:t>W</w:t>
            </w:r>
            <w:r w:rsidR="00E409AF">
              <w:rPr>
                <w:rStyle w:val="normaltextrun"/>
              </w:rPr>
              <w:t>aives a requirement that teachers must serve consecutively for Teacher Loan Forgiveness, if a teacher’s service is inte</w:t>
            </w:r>
            <w:r w:rsidR="00114FE8">
              <w:rPr>
                <w:rStyle w:val="normaltextrun"/>
              </w:rPr>
              <w:t>rrupted as a result of COVID-19.</w:t>
            </w:r>
          </w:p>
        </w:tc>
      </w:tr>
    </w:tbl>
    <w:p w:rsidR="00E409AF" w:rsidRDefault="00E409AF" w:rsidP="00E409AF"/>
    <w:p w:rsidR="00E409AF" w:rsidRDefault="00E409AF" w:rsidP="00E409AF">
      <w:pPr>
        <w:pStyle w:val="paragraph"/>
        <w:spacing w:before="0" w:beforeAutospacing="0" w:after="0" w:afterAutospacing="0"/>
        <w:textAlignment w:val="baseline"/>
        <w:rPr>
          <w:rFonts w:ascii="Segoe UI" w:hAnsi="Segoe UI" w:cs="Segoe UI"/>
          <w:sz w:val="18"/>
          <w:szCs w:val="18"/>
        </w:rPr>
      </w:pPr>
      <w:r>
        <w:rPr>
          <w:rStyle w:val="eop"/>
        </w:rPr>
        <w:t> </w:t>
      </w:r>
    </w:p>
    <w:tbl>
      <w:tblPr>
        <w:tblStyle w:val="TableGrid"/>
        <w:tblW w:w="13428" w:type="dxa"/>
        <w:tblInd w:w="-113" w:type="dxa"/>
        <w:tblLook w:val="04A0" w:firstRow="1" w:lastRow="0" w:firstColumn="1" w:lastColumn="0" w:noHBand="0" w:noVBand="1"/>
      </w:tblPr>
      <w:tblGrid>
        <w:gridCol w:w="2363"/>
        <w:gridCol w:w="8285"/>
        <w:gridCol w:w="2780"/>
      </w:tblGrid>
      <w:tr w:rsidR="00E409AF" w:rsidRPr="00D97305" w:rsidTr="00563367">
        <w:tc>
          <w:tcPr>
            <w:tcW w:w="2363" w:type="dxa"/>
            <w:shd w:val="clear" w:color="auto" w:fill="9CC2E5" w:themeFill="accent1" w:themeFillTint="99"/>
          </w:tcPr>
          <w:p w:rsidR="00E409AF" w:rsidRPr="00D97305" w:rsidRDefault="00E409AF" w:rsidP="00563367">
            <w:pPr>
              <w:ind w:left="360"/>
              <w:contextualSpacing/>
              <w:jc w:val="center"/>
              <w:rPr>
                <w:rFonts w:ascii="Times New Roman" w:hAnsi="Times New Roman" w:cs="Times New Roman"/>
                <w:sz w:val="28"/>
                <w:szCs w:val="28"/>
              </w:rPr>
            </w:pPr>
          </w:p>
        </w:tc>
        <w:tc>
          <w:tcPr>
            <w:tcW w:w="8285" w:type="dxa"/>
            <w:tcBorders>
              <w:top w:val="single" w:sz="4" w:space="0" w:color="auto"/>
              <w:right w:val="nil"/>
            </w:tcBorders>
            <w:shd w:val="clear" w:color="auto" w:fill="9CC2E5" w:themeFill="accent1" w:themeFillTint="99"/>
            <w:vAlign w:val="center"/>
          </w:tcPr>
          <w:p w:rsidR="00E409AF" w:rsidRPr="00B37EBF" w:rsidRDefault="00E409AF" w:rsidP="00563367">
            <w:pPr>
              <w:ind w:left="360"/>
              <w:contextualSpacing/>
              <w:jc w:val="center"/>
              <w:rPr>
                <w:rFonts w:ascii="Times New Roman" w:hAnsi="Times New Roman" w:cs="Times New Roman"/>
                <w:b/>
                <w:sz w:val="28"/>
                <w:szCs w:val="28"/>
              </w:rPr>
            </w:pPr>
            <w:r w:rsidRPr="00B37EBF">
              <w:rPr>
                <w:rFonts w:ascii="Times New Roman" w:hAnsi="Times New Roman" w:cs="Times New Roman"/>
                <w:b/>
                <w:sz w:val="28"/>
                <w:szCs w:val="28"/>
              </w:rPr>
              <w:t>LABOR PROVISIONS</w:t>
            </w:r>
          </w:p>
        </w:tc>
        <w:tc>
          <w:tcPr>
            <w:tcW w:w="2780" w:type="dxa"/>
            <w:tcBorders>
              <w:left w:val="nil"/>
            </w:tcBorders>
            <w:shd w:val="clear" w:color="auto" w:fill="9CC2E5" w:themeFill="accent1" w:themeFillTint="99"/>
          </w:tcPr>
          <w:p w:rsidR="00E409AF" w:rsidRPr="00D97305" w:rsidRDefault="00E409AF" w:rsidP="00563367">
            <w:pPr>
              <w:ind w:left="360"/>
              <w:contextualSpacing/>
              <w:jc w:val="center"/>
              <w:rPr>
                <w:rFonts w:ascii="Times New Roman" w:hAnsi="Times New Roman" w:cs="Times New Roman"/>
                <w:sz w:val="28"/>
                <w:szCs w:val="28"/>
              </w:rPr>
            </w:pPr>
          </w:p>
        </w:tc>
      </w:tr>
      <w:tr w:rsidR="00E409AF" w:rsidRPr="00F6320A" w:rsidTr="00563367">
        <w:trPr>
          <w:trHeight w:val="1277"/>
        </w:trPr>
        <w:tc>
          <w:tcPr>
            <w:tcW w:w="2363" w:type="dxa"/>
          </w:tcPr>
          <w:p w:rsidR="00E409AF" w:rsidRPr="00F6320A" w:rsidRDefault="00E409AF" w:rsidP="00563367">
            <w:pPr>
              <w:contextualSpacing/>
              <w:rPr>
                <w:rFonts w:ascii="Times New Roman" w:hAnsi="Times New Roman" w:cs="Times New Roman"/>
                <w:sz w:val="24"/>
                <w:szCs w:val="24"/>
              </w:rPr>
            </w:pPr>
            <w:r w:rsidRPr="00F6320A">
              <w:rPr>
                <w:rFonts w:ascii="Times New Roman" w:hAnsi="Times New Roman" w:cs="Times New Roman"/>
                <w:sz w:val="24"/>
                <w:szCs w:val="24"/>
              </w:rPr>
              <w:t xml:space="preserve">Sec. </w:t>
            </w:r>
            <w:r>
              <w:rPr>
                <w:rFonts w:ascii="Times New Roman" w:hAnsi="Times New Roman" w:cs="Times New Roman"/>
                <w:sz w:val="24"/>
                <w:szCs w:val="24"/>
              </w:rPr>
              <w:t>3</w:t>
            </w:r>
            <w:r w:rsidRPr="00F6320A">
              <w:rPr>
                <w:rFonts w:ascii="Times New Roman" w:hAnsi="Times New Roman" w:cs="Times New Roman"/>
                <w:sz w:val="24"/>
                <w:szCs w:val="24"/>
              </w:rPr>
              <w:t>601.</w:t>
            </w:r>
          </w:p>
          <w:p w:rsidR="00E409AF" w:rsidRPr="00F6320A" w:rsidRDefault="00E409AF" w:rsidP="00563367">
            <w:pPr>
              <w:contextualSpacing/>
              <w:rPr>
                <w:rFonts w:ascii="Times New Roman" w:hAnsi="Times New Roman" w:cs="Times New Roman"/>
                <w:sz w:val="24"/>
                <w:szCs w:val="24"/>
              </w:rPr>
            </w:pPr>
            <w:r w:rsidRPr="00F6320A">
              <w:rPr>
                <w:rFonts w:ascii="Times New Roman" w:hAnsi="Times New Roman" w:cs="Times New Roman"/>
                <w:sz w:val="24"/>
                <w:szCs w:val="24"/>
              </w:rPr>
              <w:t>Limitation on Paid Family and Medical Leave.</w:t>
            </w:r>
          </w:p>
        </w:tc>
        <w:tc>
          <w:tcPr>
            <w:tcW w:w="11065" w:type="dxa"/>
            <w:gridSpan w:val="2"/>
          </w:tcPr>
          <w:p w:rsidR="00E409AF" w:rsidRPr="00F6320A" w:rsidRDefault="00E409AF" w:rsidP="00563367">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Clarifies the</w:t>
            </w:r>
            <w:r w:rsidRPr="006B4B21">
              <w:rPr>
                <w:rFonts w:ascii="Times New Roman" w:hAnsi="Times New Roman" w:cs="Times New Roman"/>
                <w:sz w:val="24"/>
                <w:szCs w:val="24"/>
              </w:rPr>
              <w:t xml:space="preserve"> limitation </w:t>
            </w:r>
            <w:r>
              <w:rPr>
                <w:rFonts w:ascii="Times New Roman" w:hAnsi="Times New Roman" w:cs="Times New Roman"/>
                <w:sz w:val="24"/>
                <w:szCs w:val="24"/>
              </w:rPr>
              <w:t xml:space="preserve">on compensation during paid leave, </w:t>
            </w:r>
            <w:r w:rsidRPr="006B4B21">
              <w:rPr>
                <w:rFonts w:ascii="Times New Roman" w:hAnsi="Times New Roman" w:cs="Times New Roman"/>
                <w:sz w:val="24"/>
                <w:szCs w:val="24"/>
              </w:rPr>
              <w:t xml:space="preserve">stating an employer shall not be required to pay </w:t>
            </w:r>
            <w:r w:rsidRPr="000A0CDB">
              <w:rPr>
                <w:rFonts w:ascii="Times New Roman" w:hAnsi="Times New Roman" w:cs="Times New Roman"/>
                <w:sz w:val="24"/>
                <w:szCs w:val="24"/>
              </w:rPr>
              <w:t>more than</w:t>
            </w:r>
            <w:r w:rsidRPr="006B4B21">
              <w:rPr>
                <w:rFonts w:ascii="Times New Roman" w:hAnsi="Times New Roman" w:cs="Times New Roman"/>
                <w:sz w:val="24"/>
                <w:szCs w:val="24"/>
              </w:rPr>
              <w:t xml:space="preserve"> $200 per day and $10,000 in the aggregate for each employee under this section</w:t>
            </w:r>
            <w:r>
              <w:rPr>
                <w:rFonts w:ascii="Times New Roman" w:hAnsi="Times New Roman" w:cs="Times New Roman"/>
                <w:sz w:val="24"/>
                <w:szCs w:val="24"/>
              </w:rPr>
              <w:t>.</w:t>
            </w:r>
          </w:p>
        </w:tc>
      </w:tr>
      <w:tr w:rsidR="00E409AF" w:rsidRPr="00F6320A" w:rsidTr="00563367">
        <w:trPr>
          <w:trHeight w:val="1520"/>
        </w:trPr>
        <w:tc>
          <w:tcPr>
            <w:tcW w:w="2363" w:type="dxa"/>
            <w:shd w:val="clear" w:color="auto" w:fill="DEEAF6" w:themeFill="accent1" w:themeFillTint="33"/>
          </w:tcPr>
          <w:p w:rsidR="00E409AF" w:rsidRPr="00F6320A" w:rsidRDefault="00E409AF" w:rsidP="00563367">
            <w:pPr>
              <w:contextualSpacing/>
              <w:rPr>
                <w:rFonts w:ascii="Times New Roman" w:hAnsi="Times New Roman" w:cs="Times New Roman"/>
                <w:sz w:val="24"/>
                <w:szCs w:val="24"/>
              </w:rPr>
            </w:pPr>
            <w:r w:rsidRPr="00F6320A">
              <w:rPr>
                <w:rFonts w:ascii="Times New Roman" w:hAnsi="Times New Roman" w:cs="Times New Roman"/>
                <w:sz w:val="24"/>
                <w:szCs w:val="24"/>
              </w:rPr>
              <w:t xml:space="preserve">Sec. </w:t>
            </w:r>
            <w:r>
              <w:rPr>
                <w:rFonts w:ascii="Times New Roman" w:hAnsi="Times New Roman" w:cs="Times New Roman"/>
                <w:sz w:val="24"/>
                <w:szCs w:val="24"/>
              </w:rPr>
              <w:t>3</w:t>
            </w:r>
            <w:r w:rsidRPr="00F6320A">
              <w:rPr>
                <w:rFonts w:ascii="Times New Roman" w:hAnsi="Times New Roman" w:cs="Times New Roman"/>
                <w:sz w:val="24"/>
                <w:szCs w:val="24"/>
              </w:rPr>
              <w:t>602.</w:t>
            </w:r>
          </w:p>
          <w:p w:rsidR="00E409AF" w:rsidRPr="00F6320A" w:rsidRDefault="00E409AF" w:rsidP="00563367">
            <w:pPr>
              <w:contextualSpacing/>
              <w:rPr>
                <w:rFonts w:ascii="Times New Roman" w:hAnsi="Times New Roman" w:cs="Times New Roman"/>
                <w:sz w:val="24"/>
                <w:szCs w:val="24"/>
              </w:rPr>
            </w:pPr>
            <w:r w:rsidRPr="00F6320A">
              <w:rPr>
                <w:rFonts w:ascii="Times New Roman" w:hAnsi="Times New Roman" w:cs="Times New Roman"/>
                <w:sz w:val="24"/>
                <w:szCs w:val="24"/>
              </w:rPr>
              <w:t>Limitation on Paid Sick Leave</w:t>
            </w:r>
          </w:p>
        </w:tc>
        <w:tc>
          <w:tcPr>
            <w:tcW w:w="11065" w:type="dxa"/>
            <w:gridSpan w:val="2"/>
            <w:shd w:val="clear" w:color="auto" w:fill="DEEAF6" w:themeFill="accent1" w:themeFillTint="33"/>
          </w:tcPr>
          <w:p w:rsidR="00E409AF" w:rsidRPr="00E80FE9" w:rsidRDefault="00E409AF" w:rsidP="00563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Clarifies the</w:t>
            </w:r>
            <w:r w:rsidRPr="006B4B21">
              <w:rPr>
                <w:rFonts w:ascii="Times New Roman" w:hAnsi="Times New Roman" w:cs="Times New Roman"/>
                <w:sz w:val="24"/>
                <w:szCs w:val="24"/>
              </w:rPr>
              <w:t xml:space="preserve"> limitation </w:t>
            </w:r>
            <w:r>
              <w:rPr>
                <w:rFonts w:ascii="Times New Roman" w:hAnsi="Times New Roman" w:cs="Times New Roman"/>
                <w:sz w:val="24"/>
                <w:szCs w:val="24"/>
              </w:rPr>
              <w:t xml:space="preserve">on compensation during paid sick days, </w:t>
            </w:r>
            <w:r w:rsidRPr="006B4B21">
              <w:rPr>
                <w:rFonts w:ascii="Times New Roman" w:hAnsi="Times New Roman" w:cs="Times New Roman"/>
                <w:sz w:val="24"/>
                <w:szCs w:val="24"/>
              </w:rPr>
              <w:t xml:space="preserve">stating an employer shall not be required to pay </w:t>
            </w:r>
            <w:r w:rsidRPr="000A0CDB">
              <w:rPr>
                <w:rFonts w:ascii="Times New Roman" w:hAnsi="Times New Roman" w:cs="Times New Roman"/>
                <w:sz w:val="24"/>
                <w:szCs w:val="24"/>
              </w:rPr>
              <w:t>more than</w:t>
            </w:r>
            <w:r w:rsidRPr="006B4B21">
              <w:rPr>
                <w:rFonts w:ascii="Times New Roman" w:hAnsi="Times New Roman" w:cs="Times New Roman"/>
                <w:sz w:val="24"/>
                <w:szCs w:val="24"/>
              </w:rPr>
              <w:t xml:space="preserve"> $511 per day and $5,110 in the aggregate for sick leave or more than $200 per day and $2,000 in the aggregate to care for </w:t>
            </w:r>
            <w:r>
              <w:rPr>
                <w:rFonts w:ascii="Times New Roman" w:hAnsi="Times New Roman" w:cs="Times New Roman"/>
                <w:sz w:val="24"/>
                <w:szCs w:val="24"/>
              </w:rPr>
              <w:t xml:space="preserve">family </w:t>
            </w:r>
            <w:r w:rsidRPr="006B4B21">
              <w:rPr>
                <w:rFonts w:ascii="Times New Roman" w:hAnsi="Times New Roman" w:cs="Times New Roman"/>
                <w:sz w:val="24"/>
                <w:szCs w:val="24"/>
              </w:rPr>
              <w:t xml:space="preserve">under this section. </w:t>
            </w:r>
          </w:p>
        </w:tc>
      </w:tr>
      <w:tr w:rsidR="00E409AF" w:rsidRPr="00F6320A" w:rsidTr="00563367">
        <w:trPr>
          <w:trHeight w:val="1520"/>
        </w:trPr>
        <w:tc>
          <w:tcPr>
            <w:tcW w:w="2363" w:type="dxa"/>
          </w:tcPr>
          <w:p w:rsidR="00E409AF" w:rsidRPr="00F6320A" w:rsidRDefault="00E409AF" w:rsidP="00563367">
            <w:pPr>
              <w:contextualSpacing/>
              <w:rPr>
                <w:rFonts w:ascii="Times New Roman" w:hAnsi="Times New Roman" w:cs="Times New Roman"/>
                <w:sz w:val="24"/>
                <w:szCs w:val="24"/>
              </w:rPr>
            </w:pPr>
            <w:r w:rsidRPr="00F6320A">
              <w:rPr>
                <w:rFonts w:ascii="Times New Roman" w:hAnsi="Times New Roman" w:cs="Times New Roman"/>
                <w:sz w:val="24"/>
                <w:szCs w:val="24"/>
              </w:rPr>
              <w:lastRenderedPageBreak/>
              <w:t xml:space="preserve">Sec. </w:t>
            </w:r>
            <w:r>
              <w:rPr>
                <w:rFonts w:ascii="Times New Roman" w:hAnsi="Times New Roman" w:cs="Times New Roman"/>
                <w:sz w:val="24"/>
                <w:szCs w:val="24"/>
              </w:rPr>
              <w:t>3</w:t>
            </w:r>
            <w:r w:rsidRPr="00F6320A">
              <w:rPr>
                <w:rFonts w:ascii="Times New Roman" w:hAnsi="Times New Roman" w:cs="Times New Roman"/>
                <w:sz w:val="24"/>
                <w:szCs w:val="24"/>
              </w:rPr>
              <w:t>60</w:t>
            </w:r>
            <w:r>
              <w:rPr>
                <w:rFonts w:ascii="Times New Roman" w:hAnsi="Times New Roman" w:cs="Times New Roman"/>
                <w:sz w:val="24"/>
                <w:szCs w:val="24"/>
              </w:rPr>
              <w:t>3</w:t>
            </w:r>
            <w:r w:rsidRPr="00F6320A">
              <w:rPr>
                <w:rFonts w:ascii="Times New Roman" w:hAnsi="Times New Roman" w:cs="Times New Roman"/>
                <w:sz w:val="24"/>
                <w:szCs w:val="24"/>
              </w:rPr>
              <w:t>.</w:t>
            </w:r>
          </w:p>
          <w:p w:rsidR="00E409AF" w:rsidRPr="00F6320A" w:rsidRDefault="00E409AF" w:rsidP="00563367">
            <w:pPr>
              <w:contextualSpacing/>
              <w:rPr>
                <w:rFonts w:ascii="Times New Roman" w:hAnsi="Times New Roman" w:cs="Times New Roman"/>
                <w:sz w:val="24"/>
                <w:szCs w:val="24"/>
              </w:rPr>
            </w:pPr>
            <w:r w:rsidRPr="00F6320A">
              <w:rPr>
                <w:rFonts w:ascii="Times New Roman" w:hAnsi="Times New Roman" w:cs="Times New Roman"/>
                <w:sz w:val="24"/>
                <w:szCs w:val="24"/>
              </w:rPr>
              <w:t>Unemployment Insurance.</w:t>
            </w:r>
          </w:p>
        </w:tc>
        <w:tc>
          <w:tcPr>
            <w:tcW w:w="11065" w:type="dxa"/>
            <w:gridSpan w:val="2"/>
          </w:tcPr>
          <w:p w:rsidR="00E409AF" w:rsidRPr="006B4B21" w:rsidRDefault="00E409AF" w:rsidP="00563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Amends the provision in CV2 that required for state unemployment insurance applications to be in at least one of two forms (in person, by phone, or online), to say that such requirement is to be met “to the extent practicable”</w:t>
            </w:r>
            <w:r w:rsidRPr="006B4B21">
              <w:rPr>
                <w:rFonts w:ascii="Times New Roman" w:hAnsi="Times New Roman" w:cs="Times New Roman"/>
                <w:sz w:val="24"/>
                <w:szCs w:val="24"/>
              </w:rPr>
              <w:t xml:space="preserve">. </w:t>
            </w:r>
          </w:p>
          <w:p w:rsidR="00E409AF" w:rsidRPr="00F6320A" w:rsidRDefault="00E409AF" w:rsidP="00563367">
            <w:pPr>
              <w:ind w:left="360"/>
              <w:contextualSpacing/>
              <w:rPr>
                <w:rFonts w:ascii="Times New Roman" w:hAnsi="Times New Roman" w:cs="Times New Roman"/>
                <w:sz w:val="24"/>
                <w:szCs w:val="24"/>
              </w:rPr>
            </w:pPr>
          </w:p>
        </w:tc>
      </w:tr>
      <w:tr w:rsidR="00E409AF" w:rsidRPr="00F6320A" w:rsidTr="00563367">
        <w:trPr>
          <w:trHeight w:val="1619"/>
        </w:trPr>
        <w:tc>
          <w:tcPr>
            <w:tcW w:w="2363" w:type="dxa"/>
            <w:shd w:val="clear" w:color="auto" w:fill="DEEAF6" w:themeFill="accent1" w:themeFillTint="33"/>
          </w:tcPr>
          <w:p w:rsidR="00E409AF" w:rsidRPr="00F6320A" w:rsidRDefault="00E409AF" w:rsidP="00563367">
            <w:pPr>
              <w:contextualSpacing/>
              <w:rPr>
                <w:rFonts w:ascii="Times New Roman" w:hAnsi="Times New Roman" w:cs="Times New Roman"/>
                <w:sz w:val="24"/>
                <w:szCs w:val="24"/>
              </w:rPr>
            </w:pPr>
            <w:r w:rsidRPr="00F6320A">
              <w:rPr>
                <w:rFonts w:ascii="Times New Roman" w:hAnsi="Times New Roman" w:cs="Times New Roman"/>
                <w:sz w:val="24"/>
                <w:szCs w:val="24"/>
              </w:rPr>
              <w:t xml:space="preserve">Sec. </w:t>
            </w:r>
            <w:r>
              <w:rPr>
                <w:rFonts w:ascii="Times New Roman" w:hAnsi="Times New Roman" w:cs="Times New Roman"/>
                <w:sz w:val="24"/>
                <w:szCs w:val="24"/>
              </w:rPr>
              <w:t>3604</w:t>
            </w:r>
            <w:r w:rsidRPr="00F6320A">
              <w:rPr>
                <w:rFonts w:ascii="Times New Roman" w:hAnsi="Times New Roman" w:cs="Times New Roman"/>
                <w:sz w:val="24"/>
                <w:szCs w:val="24"/>
              </w:rPr>
              <w:t>.</w:t>
            </w:r>
          </w:p>
          <w:p w:rsidR="00E409AF" w:rsidRPr="00F6320A" w:rsidRDefault="00E409AF" w:rsidP="00563367">
            <w:pPr>
              <w:contextualSpacing/>
              <w:rPr>
                <w:rFonts w:ascii="Times New Roman" w:hAnsi="Times New Roman" w:cs="Times New Roman"/>
                <w:sz w:val="24"/>
                <w:szCs w:val="24"/>
              </w:rPr>
            </w:pPr>
            <w:r w:rsidRPr="00F6320A">
              <w:rPr>
                <w:rFonts w:ascii="Times New Roman" w:hAnsi="Times New Roman" w:cs="Times New Roman"/>
                <w:sz w:val="24"/>
                <w:szCs w:val="24"/>
              </w:rPr>
              <w:t>OMB Waiver of Paid Family and Paid Sick Leave Requirement.</w:t>
            </w:r>
          </w:p>
        </w:tc>
        <w:tc>
          <w:tcPr>
            <w:tcW w:w="11065" w:type="dxa"/>
            <w:gridSpan w:val="2"/>
            <w:shd w:val="clear" w:color="auto" w:fill="DEEAF6" w:themeFill="accent1" w:themeFillTint="33"/>
          </w:tcPr>
          <w:p w:rsidR="00E409AF" w:rsidRPr="006B4B21" w:rsidRDefault="00E409AF" w:rsidP="00563367">
            <w:pPr>
              <w:pStyle w:val="ListParagraph"/>
              <w:numPr>
                <w:ilvl w:val="0"/>
                <w:numId w:val="1"/>
              </w:numPr>
              <w:rPr>
                <w:rFonts w:ascii="Times New Roman" w:hAnsi="Times New Roman" w:cs="Times New Roman"/>
                <w:sz w:val="24"/>
                <w:szCs w:val="24"/>
              </w:rPr>
            </w:pPr>
            <w:r w:rsidRPr="006B4B21">
              <w:rPr>
                <w:rFonts w:ascii="Times New Roman" w:hAnsi="Times New Roman" w:cs="Times New Roman"/>
                <w:sz w:val="24"/>
                <w:szCs w:val="24"/>
              </w:rPr>
              <w:t xml:space="preserve">Allows the Director of the Office of Management and Budget to exclude for good cause certain Executive Branch employees from the Paid Family Leave mandate. </w:t>
            </w:r>
          </w:p>
          <w:p w:rsidR="00E409AF" w:rsidRPr="00E80FE9" w:rsidRDefault="00E409AF" w:rsidP="00563367">
            <w:pPr>
              <w:pStyle w:val="ListParagraph"/>
              <w:numPr>
                <w:ilvl w:val="0"/>
                <w:numId w:val="1"/>
              </w:numPr>
              <w:rPr>
                <w:rFonts w:ascii="Times New Roman" w:hAnsi="Times New Roman" w:cs="Times New Roman"/>
                <w:sz w:val="24"/>
                <w:szCs w:val="24"/>
              </w:rPr>
            </w:pPr>
            <w:r w:rsidRPr="006B4B21">
              <w:rPr>
                <w:rFonts w:ascii="Times New Roman" w:hAnsi="Times New Roman" w:cs="Times New Roman"/>
                <w:sz w:val="24"/>
                <w:szCs w:val="24"/>
              </w:rPr>
              <w:t>Allows the Director of the Office of Management and Budget to exclude for good cause certain Executive Branch employees from the Paid Sick Leave mandate.</w:t>
            </w:r>
          </w:p>
        </w:tc>
      </w:tr>
      <w:tr w:rsidR="00E409AF" w:rsidRPr="00F6320A" w:rsidTr="00563367">
        <w:trPr>
          <w:trHeight w:val="1700"/>
        </w:trPr>
        <w:tc>
          <w:tcPr>
            <w:tcW w:w="2363" w:type="dxa"/>
          </w:tcPr>
          <w:p w:rsidR="00E409AF" w:rsidRPr="00F6320A" w:rsidRDefault="00E409AF" w:rsidP="00563367">
            <w:pPr>
              <w:contextualSpacing/>
              <w:rPr>
                <w:rFonts w:ascii="Times New Roman" w:hAnsi="Times New Roman" w:cs="Times New Roman"/>
                <w:sz w:val="24"/>
                <w:szCs w:val="24"/>
              </w:rPr>
            </w:pPr>
            <w:r w:rsidRPr="00F6320A">
              <w:rPr>
                <w:rFonts w:ascii="Times New Roman" w:hAnsi="Times New Roman" w:cs="Times New Roman"/>
                <w:sz w:val="24"/>
                <w:szCs w:val="24"/>
              </w:rPr>
              <w:t xml:space="preserve">Sec. </w:t>
            </w:r>
            <w:r>
              <w:rPr>
                <w:rFonts w:ascii="Times New Roman" w:hAnsi="Times New Roman" w:cs="Times New Roman"/>
                <w:sz w:val="24"/>
                <w:szCs w:val="24"/>
              </w:rPr>
              <w:t>3</w:t>
            </w:r>
            <w:r w:rsidRPr="00F6320A">
              <w:rPr>
                <w:rFonts w:ascii="Times New Roman" w:hAnsi="Times New Roman" w:cs="Times New Roman"/>
                <w:sz w:val="24"/>
                <w:szCs w:val="24"/>
              </w:rPr>
              <w:t>60</w:t>
            </w:r>
            <w:r>
              <w:rPr>
                <w:rFonts w:ascii="Times New Roman" w:hAnsi="Times New Roman" w:cs="Times New Roman"/>
                <w:sz w:val="24"/>
                <w:szCs w:val="24"/>
              </w:rPr>
              <w:t>5</w:t>
            </w:r>
            <w:r w:rsidRPr="00F6320A">
              <w:rPr>
                <w:rFonts w:ascii="Times New Roman" w:hAnsi="Times New Roman" w:cs="Times New Roman"/>
                <w:sz w:val="24"/>
                <w:szCs w:val="24"/>
              </w:rPr>
              <w:t>.</w:t>
            </w:r>
          </w:p>
          <w:p w:rsidR="00E409AF" w:rsidRPr="00F6320A" w:rsidRDefault="00E409AF" w:rsidP="00563367">
            <w:pPr>
              <w:contextualSpacing/>
              <w:rPr>
                <w:rFonts w:ascii="Times New Roman" w:hAnsi="Times New Roman" w:cs="Times New Roman"/>
                <w:sz w:val="24"/>
                <w:szCs w:val="24"/>
              </w:rPr>
            </w:pPr>
            <w:r w:rsidRPr="00F6320A">
              <w:rPr>
                <w:rFonts w:ascii="Times New Roman" w:hAnsi="Times New Roman" w:cs="Times New Roman"/>
                <w:sz w:val="24"/>
                <w:szCs w:val="24"/>
              </w:rPr>
              <w:t>Paid Family and Medical Leave for Rehired Employees</w:t>
            </w:r>
          </w:p>
          <w:p w:rsidR="00E409AF" w:rsidRPr="00F6320A" w:rsidRDefault="00E409AF" w:rsidP="00563367">
            <w:pPr>
              <w:contextualSpacing/>
              <w:rPr>
                <w:rFonts w:ascii="Times New Roman" w:hAnsi="Times New Roman" w:cs="Times New Roman"/>
                <w:sz w:val="24"/>
                <w:szCs w:val="24"/>
              </w:rPr>
            </w:pPr>
          </w:p>
        </w:tc>
        <w:tc>
          <w:tcPr>
            <w:tcW w:w="11065" w:type="dxa"/>
            <w:gridSpan w:val="2"/>
          </w:tcPr>
          <w:p w:rsidR="00E409AF" w:rsidRPr="006B4B21" w:rsidRDefault="00E409AF" w:rsidP="00563367">
            <w:pPr>
              <w:pStyle w:val="ListParagraph"/>
              <w:numPr>
                <w:ilvl w:val="0"/>
                <w:numId w:val="1"/>
              </w:numPr>
              <w:rPr>
                <w:rFonts w:ascii="Times New Roman" w:hAnsi="Times New Roman" w:cs="Times New Roman"/>
                <w:sz w:val="24"/>
                <w:szCs w:val="24"/>
              </w:rPr>
            </w:pPr>
            <w:r w:rsidRPr="006B4B21">
              <w:rPr>
                <w:rFonts w:ascii="Times New Roman" w:hAnsi="Times New Roman" w:cs="Times New Roman"/>
                <w:sz w:val="24"/>
                <w:szCs w:val="24"/>
              </w:rPr>
              <w:t xml:space="preserve">Allows an employee who was laid off by an employer March 1, 2020, or later to have access to paid family leave in certain instances if they are rehired by the employer. Employee would have had to work for the employer at least 30 days prior to being laid off.   </w:t>
            </w:r>
          </w:p>
          <w:p w:rsidR="00E409AF" w:rsidRPr="00F6320A" w:rsidRDefault="00E409AF" w:rsidP="00563367">
            <w:pPr>
              <w:ind w:left="360"/>
              <w:contextualSpacing/>
              <w:rPr>
                <w:rFonts w:ascii="Times New Roman" w:hAnsi="Times New Roman" w:cs="Times New Roman"/>
                <w:sz w:val="24"/>
                <w:szCs w:val="24"/>
              </w:rPr>
            </w:pPr>
          </w:p>
        </w:tc>
      </w:tr>
      <w:tr w:rsidR="00E409AF" w:rsidRPr="00F6320A" w:rsidTr="00563367">
        <w:trPr>
          <w:trHeight w:val="1520"/>
        </w:trPr>
        <w:tc>
          <w:tcPr>
            <w:tcW w:w="2363" w:type="dxa"/>
          </w:tcPr>
          <w:p w:rsidR="00E409AF" w:rsidRPr="00F6320A" w:rsidRDefault="00E409AF" w:rsidP="00563367">
            <w:pPr>
              <w:rPr>
                <w:rFonts w:ascii="Times New Roman" w:hAnsi="Times New Roman" w:cs="Times New Roman"/>
                <w:sz w:val="24"/>
                <w:szCs w:val="24"/>
              </w:rPr>
            </w:pPr>
            <w:r w:rsidRPr="00F6320A">
              <w:rPr>
                <w:rFonts w:ascii="Times New Roman" w:hAnsi="Times New Roman" w:cs="Times New Roman"/>
                <w:sz w:val="24"/>
                <w:szCs w:val="24"/>
              </w:rPr>
              <w:t xml:space="preserve">Sec. </w:t>
            </w:r>
            <w:r>
              <w:rPr>
                <w:rFonts w:ascii="Times New Roman" w:hAnsi="Times New Roman" w:cs="Times New Roman"/>
                <w:sz w:val="24"/>
                <w:szCs w:val="24"/>
              </w:rPr>
              <w:t>3</w:t>
            </w:r>
            <w:r w:rsidRPr="00F6320A">
              <w:rPr>
                <w:rFonts w:ascii="Times New Roman" w:hAnsi="Times New Roman" w:cs="Times New Roman"/>
                <w:sz w:val="24"/>
                <w:szCs w:val="24"/>
              </w:rPr>
              <w:t>60</w:t>
            </w:r>
            <w:r>
              <w:rPr>
                <w:rFonts w:ascii="Times New Roman" w:hAnsi="Times New Roman" w:cs="Times New Roman"/>
                <w:sz w:val="24"/>
                <w:szCs w:val="24"/>
              </w:rPr>
              <w:t>6</w:t>
            </w:r>
            <w:r w:rsidRPr="00F6320A">
              <w:rPr>
                <w:rFonts w:ascii="Times New Roman" w:hAnsi="Times New Roman" w:cs="Times New Roman"/>
                <w:sz w:val="24"/>
                <w:szCs w:val="24"/>
              </w:rPr>
              <w:t>.</w:t>
            </w:r>
          </w:p>
          <w:p w:rsidR="00E409AF" w:rsidRPr="00F6320A" w:rsidRDefault="00E409AF" w:rsidP="00563367">
            <w:pPr>
              <w:rPr>
                <w:rFonts w:ascii="Times New Roman" w:hAnsi="Times New Roman" w:cs="Times New Roman"/>
                <w:sz w:val="24"/>
                <w:szCs w:val="24"/>
              </w:rPr>
            </w:pPr>
            <w:r w:rsidRPr="00F6320A">
              <w:rPr>
                <w:rFonts w:ascii="Times New Roman" w:hAnsi="Times New Roman" w:cs="Times New Roman"/>
                <w:sz w:val="24"/>
                <w:szCs w:val="24"/>
              </w:rPr>
              <w:t>Advance of Paid Leave Tax Credit</w:t>
            </w:r>
          </w:p>
          <w:p w:rsidR="00E409AF" w:rsidRPr="00F6320A" w:rsidRDefault="00E409AF" w:rsidP="00563367">
            <w:pPr>
              <w:contextualSpacing/>
              <w:rPr>
                <w:rFonts w:ascii="Times New Roman" w:hAnsi="Times New Roman" w:cs="Times New Roman"/>
                <w:sz w:val="24"/>
                <w:szCs w:val="24"/>
              </w:rPr>
            </w:pPr>
          </w:p>
        </w:tc>
        <w:tc>
          <w:tcPr>
            <w:tcW w:w="11065" w:type="dxa"/>
            <w:gridSpan w:val="2"/>
          </w:tcPr>
          <w:p w:rsidR="00E409AF" w:rsidRPr="006B4B21" w:rsidRDefault="00E409AF" w:rsidP="00563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Makes the refundable tax credit provided for in CV2 able to be an advanced refundable tax credit </w:t>
            </w:r>
            <w:r w:rsidRPr="006B4B21">
              <w:rPr>
                <w:rFonts w:ascii="Times New Roman" w:hAnsi="Times New Roman" w:cs="Times New Roman"/>
                <w:sz w:val="24"/>
                <w:szCs w:val="24"/>
              </w:rPr>
              <w:t>instead of having to be reimburse</w:t>
            </w:r>
            <w:r>
              <w:rPr>
                <w:rFonts w:ascii="Times New Roman" w:hAnsi="Times New Roman" w:cs="Times New Roman"/>
                <w:sz w:val="24"/>
                <w:szCs w:val="24"/>
              </w:rPr>
              <w:t>d</w:t>
            </w:r>
            <w:r w:rsidR="00124981">
              <w:rPr>
                <w:rFonts w:ascii="Times New Roman" w:hAnsi="Times New Roman" w:cs="Times New Roman"/>
                <w:sz w:val="24"/>
                <w:szCs w:val="24"/>
              </w:rPr>
              <w:t xml:space="preserve"> to employers on the back end of providing paid leave to employees.</w:t>
            </w:r>
            <w:r w:rsidRPr="006B4B21">
              <w:rPr>
                <w:rFonts w:ascii="Times New Roman" w:hAnsi="Times New Roman" w:cs="Times New Roman"/>
                <w:sz w:val="24"/>
                <w:szCs w:val="24"/>
              </w:rPr>
              <w:t xml:space="preserve"> </w:t>
            </w:r>
          </w:p>
          <w:p w:rsidR="00E409AF" w:rsidRPr="00E80FE9" w:rsidRDefault="00E409AF" w:rsidP="00563367">
            <w:pPr>
              <w:pStyle w:val="ListParagraph"/>
              <w:numPr>
                <w:ilvl w:val="0"/>
                <w:numId w:val="1"/>
              </w:numPr>
              <w:rPr>
                <w:rFonts w:ascii="Times New Roman" w:hAnsi="Times New Roman" w:cs="Times New Roman"/>
                <w:sz w:val="24"/>
                <w:szCs w:val="24"/>
              </w:rPr>
            </w:pPr>
            <w:r w:rsidRPr="006B4B21">
              <w:rPr>
                <w:rFonts w:ascii="Times New Roman" w:hAnsi="Times New Roman" w:cs="Times New Roman"/>
                <w:sz w:val="24"/>
                <w:szCs w:val="24"/>
              </w:rPr>
              <w:t>Creates regulatory authority to i</w:t>
            </w:r>
            <w:r>
              <w:rPr>
                <w:rFonts w:ascii="Times New Roman" w:hAnsi="Times New Roman" w:cs="Times New Roman"/>
                <w:sz w:val="24"/>
                <w:szCs w:val="24"/>
              </w:rPr>
              <w:t>mplement the tax credit advances.</w:t>
            </w:r>
          </w:p>
        </w:tc>
      </w:tr>
      <w:tr w:rsidR="00E409AF" w:rsidRPr="002A3DF8" w:rsidTr="00563367">
        <w:trPr>
          <w:trHeight w:val="1277"/>
        </w:trPr>
        <w:tc>
          <w:tcPr>
            <w:tcW w:w="2363" w:type="dxa"/>
            <w:shd w:val="clear" w:color="auto" w:fill="DEEAF6" w:themeFill="accent1" w:themeFillTint="33"/>
          </w:tcPr>
          <w:p w:rsidR="00E409AF" w:rsidRPr="00705709" w:rsidRDefault="00E409AF" w:rsidP="00563367">
            <w:pPr>
              <w:widowControl w:val="0"/>
              <w:autoSpaceDE w:val="0"/>
              <w:autoSpaceDN w:val="0"/>
              <w:adjustRightInd w:val="0"/>
              <w:spacing w:before="120"/>
              <w:rPr>
                <w:rFonts w:ascii="Times New Roman" w:hAnsi="Times New Roman" w:cs="Times New Roman"/>
                <w:sz w:val="24"/>
                <w:szCs w:val="24"/>
              </w:rPr>
            </w:pPr>
            <w:r w:rsidRPr="00705709">
              <w:rPr>
                <w:rFonts w:ascii="Times New Roman" w:hAnsi="Times New Roman" w:cs="Times New Roman"/>
                <w:sz w:val="24"/>
                <w:szCs w:val="24"/>
              </w:rPr>
              <w:t>Sec. 3607. Expansion of DOL Authority to Postpone Certain Deadlines.</w:t>
            </w:r>
          </w:p>
        </w:tc>
        <w:tc>
          <w:tcPr>
            <w:tcW w:w="11065" w:type="dxa"/>
            <w:gridSpan w:val="2"/>
            <w:shd w:val="clear" w:color="auto" w:fill="DEEAF6" w:themeFill="accent1" w:themeFillTint="33"/>
          </w:tcPr>
          <w:p w:rsidR="00E409AF" w:rsidRPr="00705709" w:rsidRDefault="00705709" w:rsidP="00E409AF">
            <w:pPr>
              <w:pStyle w:val="ListParagraph"/>
              <w:numPr>
                <w:ilvl w:val="0"/>
                <w:numId w:val="13"/>
              </w:numPr>
              <w:rPr>
                <w:rFonts w:ascii="Times New Roman" w:hAnsi="Times New Roman" w:cs="Times New Roman"/>
                <w:sz w:val="24"/>
                <w:szCs w:val="24"/>
              </w:rPr>
            </w:pPr>
            <w:r w:rsidRPr="00705709">
              <w:rPr>
                <w:rFonts w:ascii="Times New Roman" w:hAnsi="Times New Roman" w:cs="Times New Roman"/>
                <w:bCs/>
                <w:sz w:val="24"/>
                <w:szCs w:val="24"/>
              </w:rPr>
              <w:t>Section 518 of ERISA provides the Department of Labor limited ability to postpone certain ERISA filing deadlines for a period of up to o</w:t>
            </w:r>
            <w:r w:rsidR="00124981">
              <w:rPr>
                <w:rFonts w:ascii="Times New Roman" w:hAnsi="Times New Roman" w:cs="Times New Roman"/>
                <w:bCs/>
                <w:sz w:val="24"/>
                <w:szCs w:val="24"/>
              </w:rPr>
              <w:t>ne year.  This section a</w:t>
            </w:r>
            <w:r w:rsidRPr="00705709">
              <w:rPr>
                <w:rFonts w:ascii="Times New Roman" w:hAnsi="Times New Roman" w:cs="Times New Roman"/>
                <w:bCs/>
                <w:sz w:val="24"/>
                <w:szCs w:val="24"/>
              </w:rPr>
              <w:t>llow</w:t>
            </w:r>
            <w:r w:rsidR="00124981">
              <w:rPr>
                <w:rFonts w:ascii="Times New Roman" w:hAnsi="Times New Roman" w:cs="Times New Roman"/>
                <w:bCs/>
                <w:sz w:val="24"/>
                <w:szCs w:val="24"/>
              </w:rPr>
              <w:t>s</w:t>
            </w:r>
            <w:r w:rsidRPr="00705709">
              <w:rPr>
                <w:rFonts w:ascii="Times New Roman" w:hAnsi="Times New Roman" w:cs="Times New Roman"/>
                <w:bCs/>
                <w:sz w:val="24"/>
                <w:szCs w:val="24"/>
              </w:rPr>
              <w:t xml:space="preserve"> the Secretary of Labor to delay filings by notice or otherwise in the case of a public health emergency declared by the Secretary of Health and Human Services pursuant to section 319 of the Public Health Service Act.</w:t>
            </w:r>
          </w:p>
          <w:p w:rsidR="00E409AF" w:rsidRPr="00705709" w:rsidRDefault="00E409AF" w:rsidP="00563367">
            <w:pPr>
              <w:pStyle w:val="ListParagraph"/>
              <w:spacing w:line="240" w:lineRule="auto"/>
              <w:ind w:left="360"/>
              <w:rPr>
                <w:rFonts w:ascii="Times New Roman" w:hAnsi="Times New Roman" w:cs="Times New Roman"/>
                <w:sz w:val="24"/>
                <w:szCs w:val="24"/>
              </w:rPr>
            </w:pPr>
          </w:p>
        </w:tc>
      </w:tr>
      <w:tr w:rsidR="00E409AF" w:rsidRPr="002A3DF8" w:rsidTr="00563367">
        <w:trPr>
          <w:trHeight w:val="1277"/>
        </w:trPr>
        <w:tc>
          <w:tcPr>
            <w:tcW w:w="2363" w:type="dxa"/>
          </w:tcPr>
          <w:p w:rsidR="00E409AF" w:rsidRPr="00705709" w:rsidRDefault="00E409AF" w:rsidP="00563367">
            <w:pPr>
              <w:widowControl w:val="0"/>
              <w:autoSpaceDE w:val="0"/>
              <w:autoSpaceDN w:val="0"/>
              <w:adjustRightInd w:val="0"/>
              <w:spacing w:before="120"/>
              <w:rPr>
                <w:rFonts w:ascii="Times New Roman" w:hAnsi="Times New Roman" w:cs="Times New Roman"/>
                <w:sz w:val="24"/>
                <w:szCs w:val="24"/>
              </w:rPr>
            </w:pPr>
            <w:r w:rsidRPr="00705709">
              <w:rPr>
                <w:rFonts w:ascii="Times New Roman" w:hAnsi="Times New Roman" w:cs="Times New Roman"/>
                <w:sz w:val="24"/>
                <w:szCs w:val="24"/>
              </w:rPr>
              <w:t>Sec. 3</w:t>
            </w:r>
            <w:r w:rsidRPr="00705709">
              <w:rPr>
                <w:rFonts w:ascii="Times New Roman" w:hAnsi="Times New Roman" w:cs="Times New Roman"/>
                <w:sz w:val="24"/>
                <w:szCs w:val="24"/>
              </w:rPr>
              <w:softHyphen/>
            </w:r>
            <w:r w:rsidRPr="00705709">
              <w:rPr>
                <w:rFonts w:ascii="Times New Roman" w:hAnsi="Times New Roman" w:cs="Times New Roman"/>
                <w:sz w:val="24"/>
                <w:szCs w:val="24"/>
              </w:rPr>
              <w:softHyphen/>
              <w:t>608. Single-Employer Plan Funding Rules</w:t>
            </w:r>
          </w:p>
        </w:tc>
        <w:tc>
          <w:tcPr>
            <w:tcW w:w="11065" w:type="dxa"/>
            <w:gridSpan w:val="2"/>
          </w:tcPr>
          <w:p w:rsidR="00E409AF" w:rsidRPr="00705709" w:rsidRDefault="00124981" w:rsidP="0056336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w:t>
            </w:r>
            <w:r w:rsidR="00705709" w:rsidRPr="006522A6">
              <w:rPr>
                <w:rFonts w:ascii="Times New Roman" w:hAnsi="Times New Roman" w:cs="Times New Roman"/>
                <w:sz w:val="24"/>
                <w:szCs w:val="24"/>
              </w:rPr>
              <w:t>rovides f</w:t>
            </w:r>
            <w:r w:rsidR="00705709">
              <w:rPr>
                <w:rFonts w:ascii="Times New Roman" w:hAnsi="Times New Roman" w:cs="Times New Roman"/>
                <w:sz w:val="24"/>
                <w:szCs w:val="24"/>
              </w:rPr>
              <w:t>unding relief for single-</w:t>
            </w:r>
            <w:r w:rsidR="00705709" w:rsidRPr="006522A6">
              <w:rPr>
                <w:rFonts w:ascii="Times New Roman" w:hAnsi="Times New Roman" w:cs="Times New Roman"/>
                <w:sz w:val="24"/>
                <w:szCs w:val="24"/>
              </w:rPr>
              <w:t xml:space="preserve">employer defined benefit pension plans.  </w:t>
            </w:r>
            <w:r>
              <w:rPr>
                <w:rFonts w:ascii="Times New Roman" w:eastAsia="Times New Roman" w:hAnsi="Times New Roman" w:cs="Times New Roman"/>
                <w:sz w:val="24"/>
                <w:szCs w:val="24"/>
              </w:rPr>
              <w:t xml:space="preserve">Specifically, </w:t>
            </w:r>
            <w:r w:rsidR="00705709" w:rsidRPr="006522A6">
              <w:rPr>
                <w:rFonts w:ascii="Times New Roman" w:eastAsia="Times New Roman" w:hAnsi="Times New Roman" w:cs="Times New Roman"/>
                <w:sz w:val="24"/>
                <w:szCs w:val="24"/>
              </w:rPr>
              <w:t>provides compani</w:t>
            </w:r>
            <w:r>
              <w:rPr>
                <w:rFonts w:ascii="Times New Roman" w:eastAsia="Times New Roman" w:hAnsi="Times New Roman" w:cs="Times New Roman"/>
                <w:sz w:val="24"/>
                <w:szCs w:val="24"/>
              </w:rPr>
              <w:t xml:space="preserve">es with more time to meet </w:t>
            </w:r>
            <w:r w:rsidR="00705709" w:rsidRPr="006522A6">
              <w:rPr>
                <w:rFonts w:ascii="Times New Roman" w:eastAsia="Times New Roman" w:hAnsi="Times New Roman" w:cs="Times New Roman"/>
                <w:sz w:val="24"/>
                <w:szCs w:val="24"/>
              </w:rPr>
              <w:t xml:space="preserve">funding obligations by delaying the due date for any contribution otherwise due during 2020 until </w:t>
            </w:r>
            <w:r w:rsidR="00705709">
              <w:rPr>
                <w:rFonts w:ascii="Times New Roman" w:eastAsia="Times New Roman" w:hAnsi="Times New Roman" w:cs="Times New Roman"/>
                <w:sz w:val="24"/>
                <w:szCs w:val="24"/>
              </w:rPr>
              <w:t>January 1, 2021</w:t>
            </w:r>
            <w:r w:rsidR="00705709" w:rsidRPr="006522A6">
              <w:rPr>
                <w:rFonts w:ascii="Times New Roman" w:eastAsia="Times New Roman" w:hAnsi="Times New Roman" w:cs="Times New Roman"/>
                <w:sz w:val="24"/>
                <w:szCs w:val="24"/>
              </w:rPr>
              <w:t>. At that time, contributions due earlier would be du</w:t>
            </w:r>
            <w:r>
              <w:rPr>
                <w:rFonts w:ascii="Times New Roman" w:eastAsia="Times New Roman" w:hAnsi="Times New Roman" w:cs="Times New Roman"/>
                <w:sz w:val="24"/>
                <w:szCs w:val="24"/>
              </w:rPr>
              <w:t>e with interest. P</w:t>
            </w:r>
            <w:r w:rsidR="00705709" w:rsidRPr="006522A6">
              <w:rPr>
                <w:rFonts w:ascii="Times New Roman" w:eastAsia="Times New Roman" w:hAnsi="Times New Roman" w:cs="Times New Roman"/>
                <w:sz w:val="24"/>
                <w:szCs w:val="24"/>
              </w:rPr>
              <w:t xml:space="preserve">rovides that </w:t>
            </w:r>
            <w:r w:rsidR="00705709" w:rsidRPr="006522A6">
              <w:rPr>
                <w:rFonts w:ascii="Times New Roman" w:hAnsi="Times New Roman" w:cs="Times New Roman"/>
                <w:sz w:val="24"/>
                <w:szCs w:val="24"/>
              </w:rPr>
              <w:t>a plan’s status for benefit restrictions as of December 31, 2019 will apply throughout 2020.</w:t>
            </w:r>
          </w:p>
          <w:p w:rsidR="00E409AF" w:rsidRPr="00705709" w:rsidRDefault="00E409AF" w:rsidP="00563367">
            <w:pPr>
              <w:pStyle w:val="ListParagraph"/>
              <w:spacing w:line="240" w:lineRule="auto"/>
              <w:ind w:left="360"/>
              <w:rPr>
                <w:rFonts w:ascii="Times New Roman" w:hAnsi="Times New Roman" w:cs="Times New Roman"/>
                <w:sz w:val="24"/>
                <w:szCs w:val="24"/>
              </w:rPr>
            </w:pPr>
          </w:p>
        </w:tc>
      </w:tr>
      <w:tr w:rsidR="00E409AF" w:rsidRPr="002A3DF8" w:rsidTr="00563367">
        <w:trPr>
          <w:trHeight w:val="1520"/>
        </w:trPr>
        <w:tc>
          <w:tcPr>
            <w:tcW w:w="2363" w:type="dxa"/>
            <w:shd w:val="clear" w:color="auto" w:fill="DEEAF6" w:themeFill="accent1" w:themeFillTint="33"/>
          </w:tcPr>
          <w:p w:rsidR="00E409AF" w:rsidRPr="008D7CD8" w:rsidRDefault="00E409AF" w:rsidP="00563367">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Sec. 3609. </w:t>
            </w:r>
            <w:r w:rsidRPr="008D7CD8">
              <w:rPr>
                <w:rFonts w:ascii="Times New Roman" w:hAnsi="Times New Roman" w:cs="Times New Roman"/>
                <w:bCs/>
                <w:iCs/>
                <w:sz w:val="24"/>
                <w:szCs w:val="24"/>
              </w:rPr>
              <w:t>Application of Cooperative and Small Employer Charity Pension Plan Rules to Certain Charitable Employers whose primary Exempt Purpose is Providing services with respect to Mothers and Children</w:t>
            </w:r>
          </w:p>
        </w:tc>
        <w:tc>
          <w:tcPr>
            <w:tcW w:w="11065" w:type="dxa"/>
            <w:gridSpan w:val="2"/>
            <w:shd w:val="clear" w:color="auto" w:fill="DEEAF6" w:themeFill="accent1" w:themeFillTint="33"/>
          </w:tcPr>
          <w:p w:rsidR="00E409AF" w:rsidRPr="00705709" w:rsidRDefault="00705709" w:rsidP="00E409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w:t>
            </w:r>
            <w:r w:rsidRPr="0015631F">
              <w:rPr>
                <w:rFonts w:ascii="Times New Roman" w:hAnsi="Times New Roman" w:cs="Times New Roman"/>
                <w:sz w:val="24"/>
                <w:szCs w:val="24"/>
              </w:rPr>
              <w:t xml:space="preserve">rovides that a pension plan sponsored by a non-profit employer meeting certain conditions will be subject to the pension funding rules applicable to “Cooperative and Small Employer Charity Pension Plans” </w:t>
            </w:r>
            <w:r w:rsidR="00124981">
              <w:rPr>
                <w:rFonts w:ascii="Times New Roman" w:hAnsi="Times New Roman" w:cs="Times New Roman"/>
                <w:sz w:val="24"/>
                <w:szCs w:val="24"/>
              </w:rPr>
              <w:t>(CSEC Plans).  Specifically, a</w:t>
            </w:r>
            <w:r w:rsidRPr="0015631F">
              <w:rPr>
                <w:rFonts w:ascii="Times New Roman" w:hAnsi="Times New Roman" w:cs="Times New Roman"/>
                <w:sz w:val="24"/>
                <w:szCs w:val="24"/>
              </w:rPr>
              <w:t xml:space="preserve">mends the definition of CSEC Plans to provide that a pension plan will be </w:t>
            </w:r>
            <w:r>
              <w:rPr>
                <w:rFonts w:ascii="Times New Roman" w:hAnsi="Times New Roman" w:cs="Times New Roman"/>
                <w:sz w:val="24"/>
                <w:szCs w:val="24"/>
              </w:rPr>
              <w:t xml:space="preserve">a </w:t>
            </w:r>
            <w:r w:rsidRPr="0015631F">
              <w:rPr>
                <w:rFonts w:ascii="Times New Roman" w:hAnsi="Times New Roman" w:cs="Times New Roman"/>
                <w:sz w:val="24"/>
                <w:szCs w:val="24"/>
              </w:rPr>
              <w:t>CSEC plan if, as of January 1, 2000, the plan was sponsored by an employer that (i) is exempt from taxation under Code section 501(c)(3), (ii) has been in existence since 1938, (iii) conducts medical research directly or indirectly through grant making, and (iv) has as its primary exempt purpose providing services with respect to mothers and children.  This section is effective for plan years beginning after December 31, 2018.</w:t>
            </w:r>
          </w:p>
        </w:tc>
      </w:tr>
      <w:tr w:rsidR="00E409AF" w:rsidTr="00563367">
        <w:trPr>
          <w:trHeight w:val="1520"/>
        </w:trPr>
        <w:tc>
          <w:tcPr>
            <w:tcW w:w="2363" w:type="dxa"/>
            <w:shd w:val="clear" w:color="auto" w:fill="auto"/>
          </w:tcPr>
          <w:p w:rsidR="00E409AF" w:rsidRDefault="00E409AF" w:rsidP="00563367">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3610. Federal Contractor Authority</w:t>
            </w:r>
          </w:p>
        </w:tc>
        <w:tc>
          <w:tcPr>
            <w:tcW w:w="11065" w:type="dxa"/>
            <w:gridSpan w:val="2"/>
            <w:shd w:val="clear" w:color="auto" w:fill="auto"/>
          </w:tcPr>
          <w:p w:rsidR="00E409AF" w:rsidRDefault="00E409AF" w:rsidP="00E409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Allows federal agencies to reimburse federal contractors and subcontractors for paid leave and paid sick days provided to their employees when the contractors are unable to fulfill the work under their contracts because they are unable to access a federal facility or are otherwise restricted due to COVID-19. </w:t>
            </w:r>
          </w:p>
          <w:p w:rsidR="00E409AF" w:rsidRDefault="00E409AF" w:rsidP="00563367">
            <w:pPr>
              <w:pStyle w:val="ListParagraph"/>
              <w:ind w:left="360"/>
              <w:rPr>
                <w:rFonts w:ascii="Times New Roman" w:hAnsi="Times New Roman" w:cs="Times New Roman"/>
                <w:sz w:val="24"/>
                <w:szCs w:val="24"/>
              </w:rPr>
            </w:pPr>
          </w:p>
        </w:tc>
      </w:tr>
      <w:tr w:rsidR="00E409AF" w:rsidTr="00563367">
        <w:trPr>
          <w:trHeight w:val="1520"/>
        </w:trPr>
        <w:tc>
          <w:tcPr>
            <w:tcW w:w="2363" w:type="dxa"/>
            <w:shd w:val="clear" w:color="auto" w:fill="DEEAF6" w:themeFill="accent1" w:themeFillTint="33"/>
          </w:tcPr>
          <w:p w:rsidR="00E409AF" w:rsidRDefault="00E409AF" w:rsidP="00563367">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Sec. 3611. Technical Corrections</w:t>
            </w:r>
          </w:p>
        </w:tc>
        <w:tc>
          <w:tcPr>
            <w:tcW w:w="11065" w:type="dxa"/>
            <w:gridSpan w:val="2"/>
            <w:shd w:val="clear" w:color="auto" w:fill="DEEAF6" w:themeFill="accent1" w:themeFillTint="33"/>
          </w:tcPr>
          <w:p w:rsidR="00E409AF" w:rsidRDefault="00E409AF" w:rsidP="00E409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Makes a series of corrections to inadvertent drafting errors in the Families First Coronavirus Response Act.</w:t>
            </w:r>
          </w:p>
          <w:p w:rsidR="00E409AF" w:rsidRDefault="00E409AF" w:rsidP="00E409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Gives DOL the authority to issue regulations, including to ensure consistency between paid family leave and paid sick leave.</w:t>
            </w:r>
          </w:p>
          <w:p w:rsidR="00E409AF" w:rsidRPr="00E80FE9" w:rsidRDefault="00E409AF" w:rsidP="00E409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Gives DOL authority to investigate and gather data in order to enforce the requirements.</w:t>
            </w:r>
          </w:p>
        </w:tc>
      </w:tr>
    </w:tbl>
    <w:p w:rsidR="00E409AF" w:rsidRDefault="00E409AF">
      <w:pPr>
        <w:spacing w:after="160" w:line="259" w:lineRule="auto"/>
      </w:pPr>
    </w:p>
    <w:p w:rsidR="004C099D" w:rsidRDefault="004C099D">
      <w:pPr>
        <w:spacing w:after="160" w:line="259" w:lineRule="auto"/>
      </w:pPr>
    </w:p>
    <w:p w:rsidR="004C099D" w:rsidRDefault="004C099D">
      <w:pPr>
        <w:spacing w:after="160" w:line="259" w:lineRule="auto"/>
      </w:pPr>
    </w:p>
    <w:p w:rsidR="004C099D" w:rsidRDefault="004C099D">
      <w:pPr>
        <w:spacing w:after="160" w:line="259" w:lineRule="auto"/>
      </w:pPr>
    </w:p>
    <w:sectPr w:rsidR="004C099D" w:rsidSect="00123936">
      <w:headerReference w:type="default" r:id="rId8"/>
      <w:pgSz w:w="15840" w:h="12240" w:orient="landscape"/>
      <w:pgMar w:top="900" w:right="50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9D" w:rsidRDefault="000F2B9D" w:rsidP="00D92BC9">
      <w:r>
        <w:separator/>
      </w:r>
    </w:p>
  </w:endnote>
  <w:endnote w:type="continuationSeparator" w:id="0">
    <w:p w:rsidR="000F2B9D" w:rsidRDefault="000F2B9D" w:rsidP="00D9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9D" w:rsidRDefault="000F2B9D" w:rsidP="00D92BC9">
      <w:r>
        <w:separator/>
      </w:r>
    </w:p>
  </w:footnote>
  <w:footnote w:type="continuationSeparator" w:id="0">
    <w:p w:rsidR="000F2B9D" w:rsidRDefault="000F2B9D" w:rsidP="00D9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124981" w:rsidRDefault="0012498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7D1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7D11">
          <w:rPr>
            <w:b/>
            <w:bCs/>
            <w:noProof/>
          </w:rPr>
          <w:t>13</w:t>
        </w:r>
        <w:r>
          <w:rPr>
            <w:b/>
            <w:bCs/>
            <w:sz w:val="24"/>
            <w:szCs w:val="24"/>
          </w:rPr>
          <w:fldChar w:fldCharType="end"/>
        </w:r>
      </w:p>
    </w:sdtContent>
  </w:sdt>
  <w:p w:rsidR="00124981" w:rsidRDefault="0012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824"/>
    <w:multiLevelType w:val="hybridMultilevel"/>
    <w:tmpl w:val="73481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A7889"/>
    <w:multiLevelType w:val="hybridMultilevel"/>
    <w:tmpl w:val="6B16856E"/>
    <w:lvl w:ilvl="0" w:tplc="1F1840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433B"/>
    <w:multiLevelType w:val="hybridMultilevel"/>
    <w:tmpl w:val="CED8A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01799"/>
    <w:multiLevelType w:val="hybridMultilevel"/>
    <w:tmpl w:val="C5B65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2323CF"/>
    <w:multiLevelType w:val="hybridMultilevel"/>
    <w:tmpl w:val="6DCCB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642AEB"/>
    <w:multiLevelType w:val="hybridMultilevel"/>
    <w:tmpl w:val="E100616C"/>
    <w:lvl w:ilvl="0" w:tplc="471E99BA">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7575D0"/>
    <w:multiLevelType w:val="hybridMultilevel"/>
    <w:tmpl w:val="C17C363A"/>
    <w:lvl w:ilvl="0" w:tplc="ACAE388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980A52"/>
    <w:multiLevelType w:val="hybridMultilevel"/>
    <w:tmpl w:val="584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3673F9"/>
    <w:multiLevelType w:val="hybridMultilevel"/>
    <w:tmpl w:val="AE183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1B5CC4"/>
    <w:multiLevelType w:val="hybridMultilevel"/>
    <w:tmpl w:val="32F68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8F1D02"/>
    <w:multiLevelType w:val="hybridMultilevel"/>
    <w:tmpl w:val="F3603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0A71BC"/>
    <w:multiLevelType w:val="hybridMultilevel"/>
    <w:tmpl w:val="2776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D835EB"/>
    <w:multiLevelType w:val="hybridMultilevel"/>
    <w:tmpl w:val="55506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0"/>
  </w:num>
  <w:num w:numId="5">
    <w:abstractNumId w:val="1"/>
  </w:num>
  <w:num w:numId="6">
    <w:abstractNumId w:val="5"/>
  </w:num>
  <w:num w:numId="7">
    <w:abstractNumId w:val="9"/>
  </w:num>
  <w:num w:numId="8">
    <w:abstractNumId w:val="7"/>
  </w:num>
  <w:num w:numId="9">
    <w:abstractNumId w:val="8"/>
  </w:num>
  <w:num w:numId="10">
    <w:abstractNumId w:val="11"/>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C9"/>
    <w:rsid w:val="00010FF8"/>
    <w:rsid w:val="0002532F"/>
    <w:rsid w:val="00052F65"/>
    <w:rsid w:val="0005474C"/>
    <w:rsid w:val="00057620"/>
    <w:rsid w:val="0007338B"/>
    <w:rsid w:val="00083CF4"/>
    <w:rsid w:val="000A1A06"/>
    <w:rsid w:val="000B5DCF"/>
    <w:rsid w:val="000D7D11"/>
    <w:rsid w:val="000F2B9D"/>
    <w:rsid w:val="00111277"/>
    <w:rsid w:val="00114FE8"/>
    <w:rsid w:val="00123936"/>
    <w:rsid w:val="00124981"/>
    <w:rsid w:val="00126FC7"/>
    <w:rsid w:val="00212ABD"/>
    <w:rsid w:val="00354023"/>
    <w:rsid w:val="0038268E"/>
    <w:rsid w:val="00384925"/>
    <w:rsid w:val="003A31D1"/>
    <w:rsid w:val="003A709F"/>
    <w:rsid w:val="003B1397"/>
    <w:rsid w:val="003F03C0"/>
    <w:rsid w:val="003F085E"/>
    <w:rsid w:val="004C099D"/>
    <w:rsid w:val="004E5BED"/>
    <w:rsid w:val="004E69AC"/>
    <w:rsid w:val="00597981"/>
    <w:rsid w:val="005A1930"/>
    <w:rsid w:val="005C7C34"/>
    <w:rsid w:val="00632A43"/>
    <w:rsid w:val="00672125"/>
    <w:rsid w:val="00680896"/>
    <w:rsid w:val="006B3A56"/>
    <w:rsid w:val="006D6228"/>
    <w:rsid w:val="006E1252"/>
    <w:rsid w:val="00704D67"/>
    <w:rsid w:val="00705709"/>
    <w:rsid w:val="007505DB"/>
    <w:rsid w:val="00763835"/>
    <w:rsid w:val="00776EDD"/>
    <w:rsid w:val="007A4D57"/>
    <w:rsid w:val="00877B84"/>
    <w:rsid w:val="00880183"/>
    <w:rsid w:val="0089218C"/>
    <w:rsid w:val="008E0279"/>
    <w:rsid w:val="009627B6"/>
    <w:rsid w:val="009818AE"/>
    <w:rsid w:val="00A71EAB"/>
    <w:rsid w:val="00A96DF0"/>
    <w:rsid w:val="00B37EBF"/>
    <w:rsid w:val="00B90A3D"/>
    <w:rsid w:val="00C23F70"/>
    <w:rsid w:val="00C80400"/>
    <w:rsid w:val="00CD1635"/>
    <w:rsid w:val="00D23CDF"/>
    <w:rsid w:val="00D31F8B"/>
    <w:rsid w:val="00D45E05"/>
    <w:rsid w:val="00D70933"/>
    <w:rsid w:val="00D92BC9"/>
    <w:rsid w:val="00DA0586"/>
    <w:rsid w:val="00E15470"/>
    <w:rsid w:val="00E37A8C"/>
    <w:rsid w:val="00E409AF"/>
    <w:rsid w:val="00F04E8D"/>
    <w:rsid w:val="00F27780"/>
    <w:rsid w:val="00F55FBF"/>
    <w:rsid w:val="00F77595"/>
    <w:rsid w:val="00F77F24"/>
    <w:rsid w:val="00FA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30563-74D4-4C43-B17F-DF5AE73E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BC9"/>
    <w:pPr>
      <w:tabs>
        <w:tab w:val="center" w:pos="4680"/>
        <w:tab w:val="right" w:pos="9360"/>
      </w:tabs>
    </w:pPr>
  </w:style>
  <w:style w:type="character" w:customStyle="1" w:styleId="HeaderChar">
    <w:name w:val="Header Char"/>
    <w:basedOn w:val="DefaultParagraphFont"/>
    <w:link w:val="Header"/>
    <w:uiPriority w:val="99"/>
    <w:rsid w:val="00D92BC9"/>
  </w:style>
  <w:style w:type="paragraph" w:styleId="ListParagraph">
    <w:name w:val="List Paragraph"/>
    <w:basedOn w:val="Normal"/>
    <w:uiPriority w:val="34"/>
    <w:qFormat/>
    <w:rsid w:val="00D92BC9"/>
    <w:pPr>
      <w:spacing w:after="160" w:line="259" w:lineRule="auto"/>
      <w:ind w:left="720"/>
      <w:contextualSpacing/>
    </w:pPr>
  </w:style>
  <w:style w:type="paragraph" w:styleId="Footer">
    <w:name w:val="footer"/>
    <w:basedOn w:val="Normal"/>
    <w:link w:val="FooterChar"/>
    <w:uiPriority w:val="99"/>
    <w:unhideWhenUsed/>
    <w:rsid w:val="00D92BC9"/>
    <w:pPr>
      <w:tabs>
        <w:tab w:val="center" w:pos="4680"/>
        <w:tab w:val="right" w:pos="9360"/>
      </w:tabs>
    </w:pPr>
  </w:style>
  <w:style w:type="character" w:customStyle="1" w:styleId="FooterChar">
    <w:name w:val="Footer Char"/>
    <w:basedOn w:val="DefaultParagraphFont"/>
    <w:link w:val="Footer"/>
    <w:uiPriority w:val="99"/>
    <w:rsid w:val="00D92BC9"/>
  </w:style>
  <w:style w:type="paragraph" w:styleId="BalloonText">
    <w:name w:val="Balloon Text"/>
    <w:basedOn w:val="Normal"/>
    <w:link w:val="BalloonTextChar"/>
    <w:uiPriority w:val="99"/>
    <w:semiHidden/>
    <w:unhideWhenUsed/>
    <w:rsid w:val="00111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77"/>
    <w:rPr>
      <w:rFonts w:ascii="Segoe UI" w:hAnsi="Segoe UI" w:cs="Segoe UI"/>
      <w:sz w:val="18"/>
      <w:szCs w:val="18"/>
    </w:rPr>
  </w:style>
  <w:style w:type="paragraph" w:customStyle="1" w:styleId="paragraph">
    <w:name w:val="paragraph"/>
    <w:basedOn w:val="Normal"/>
    <w:rsid w:val="00E409A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409AF"/>
  </w:style>
  <w:style w:type="character" w:customStyle="1" w:styleId="eop">
    <w:name w:val="eop"/>
    <w:basedOn w:val="DefaultParagraphFont"/>
    <w:rsid w:val="00E4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1F1D-F2B3-467B-BF49-630748A7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Allison (Alexander)</dc:creator>
  <cp:keywords/>
  <dc:description/>
  <cp:lastModifiedBy>Righter, John (HELP Committee)</cp:lastModifiedBy>
  <cp:revision>2</cp:revision>
  <dcterms:created xsi:type="dcterms:W3CDTF">2020-03-25T17:08:00Z</dcterms:created>
  <dcterms:modified xsi:type="dcterms:W3CDTF">2020-03-25T17:08:00Z</dcterms:modified>
</cp:coreProperties>
</file>